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460F" w14:textId="203B0069" w:rsidR="002F658B" w:rsidRDefault="00A67AFC" w:rsidP="00A67AFC">
      <w:pPr>
        <w:jc w:val="center"/>
      </w:pPr>
      <w:r w:rsidRPr="0036335C">
        <w:rPr>
          <w:noProof/>
        </w:rPr>
        <w:drawing>
          <wp:inline distT="0" distB="0" distL="0" distR="0" wp14:anchorId="128B8D98" wp14:editId="7C4206A5">
            <wp:extent cx="507926" cy="763527"/>
            <wp:effectExtent l="0" t="0" r="6985" b="0"/>
            <wp:docPr id="10" name="Picture 10" descr="C:\Users\RButler\OneDrive - Kingsfield First School\Kingsfield 2017\2016-17\LOGOS\All Gathered Logos\Kingsfield_CMY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tler\OneDrive - Kingsfield First School\Kingsfield 2017\2016-17\LOGOS\All Gathered Logos\Kingsfield_CMY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8635" cy="7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9288" w14:textId="78983720" w:rsidR="008C0301" w:rsidRDefault="008C0301" w:rsidP="008C0301">
      <w:pPr>
        <w:pStyle w:val="Heading2"/>
        <w:spacing w:before="600"/>
      </w:pPr>
      <w:r>
        <w:t xml:space="preserve">Intended outcomes - Review </w:t>
      </w:r>
      <w:r w:rsidR="00D45712">
        <w:t>June</w:t>
      </w:r>
      <w:r>
        <w:t xml:space="preserve"> 2022</w:t>
      </w:r>
    </w:p>
    <w:p w14:paraId="5812577F" w14:textId="034CD7AC" w:rsidR="00A67AFC" w:rsidRPr="00A67AFC" w:rsidRDefault="008C0301" w:rsidP="008C0301">
      <w:pPr>
        <w:rPr>
          <w:color w:val="auto"/>
        </w:rPr>
      </w:pPr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18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0"/>
        <w:gridCol w:w="3270"/>
        <w:gridCol w:w="8613"/>
      </w:tblGrid>
      <w:tr w:rsidR="008C0301" w14:paraId="4C21C07A" w14:textId="77777777" w:rsidTr="00381E1B">
        <w:trPr>
          <w:trHeight w:val="39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7393" w14:textId="77777777" w:rsidR="008C0301" w:rsidRDefault="008C0301" w:rsidP="0004508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AE77" w14:textId="77777777" w:rsidR="008C0301" w:rsidRDefault="008C0301" w:rsidP="00045088">
            <w:pPr>
              <w:pStyle w:val="TableHeader"/>
              <w:jc w:val="left"/>
            </w:pPr>
            <w:r>
              <w:t>Success criteria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</w:tcPr>
          <w:p w14:paraId="41D2B976" w14:textId="7AC87ECE" w:rsidR="008C0301" w:rsidRDefault="008C0301" w:rsidP="00045088">
            <w:pPr>
              <w:pStyle w:val="TableHeader"/>
              <w:jc w:val="left"/>
            </w:pPr>
            <w:r>
              <w:t>Review</w:t>
            </w:r>
            <w:r w:rsidR="00D45712">
              <w:t>/Impact</w:t>
            </w:r>
          </w:p>
        </w:tc>
      </w:tr>
      <w:tr w:rsidR="008C0301" w14:paraId="34BB62B3" w14:textId="77777777" w:rsidTr="00381E1B">
        <w:trPr>
          <w:trHeight w:val="150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5A4" w14:textId="77777777" w:rsidR="008C0301" w:rsidRPr="00180997" w:rsidRDefault="008C0301" w:rsidP="00045088">
            <w:pPr>
              <w:pStyle w:val="TableRow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Improved levels of independence, resilience, confidence and metacognition amongst our DA SEN pupils.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6EF2" w14:textId="77777777" w:rsidR="008C0301" w:rsidRPr="00180997" w:rsidRDefault="008C0301" w:rsidP="00045088">
            <w:pPr>
              <w:pStyle w:val="TableRowCentered"/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>Observations and pupil voice activities indicate our DA pupils operate with motivation and purpose within all lessons.</w:t>
            </w:r>
          </w:p>
          <w:p w14:paraId="0141EFA4" w14:textId="77777777" w:rsidR="008C0301" w:rsidRPr="00180997" w:rsidRDefault="008C0301" w:rsidP="00045088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5993231E" w14:textId="77777777" w:rsidR="008C0301" w:rsidRPr="00180997" w:rsidRDefault="008C0301" w:rsidP="00045088">
            <w:pPr>
              <w:pStyle w:val="TableRowCentered"/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>Success in progress of the SEND DA pupils are measures a SEND tracker.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2D1B" w14:textId="77777777" w:rsidR="008C0301" w:rsidRPr="00180997" w:rsidRDefault="008C0301" w:rsidP="00045088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73CC704F" w14:textId="55D692AE" w:rsidR="00B80634" w:rsidRPr="00180997" w:rsidRDefault="00E77A7D" w:rsidP="00E77A7D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>Planned learning walk to focus on LAP DA as part of the CEO quality assurance.</w:t>
            </w:r>
          </w:p>
          <w:p w14:paraId="2BDE1C0B" w14:textId="57B62BA7" w:rsidR="00B80634" w:rsidRDefault="00B80634" w:rsidP="00E77A7D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 xml:space="preserve">B-squared tracker being investigated </w:t>
            </w:r>
            <w:r w:rsidR="00E77A7D" w:rsidRPr="00180997">
              <w:rPr>
                <w:sz w:val="22"/>
                <w:szCs w:val="22"/>
              </w:rPr>
              <w:t>by RT</w:t>
            </w:r>
            <w:r w:rsidR="0072551B" w:rsidRPr="00180997">
              <w:rPr>
                <w:sz w:val="22"/>
                <w:szCs w:val="22"/>
              </w:rPr>
              <w:t xml:space="preserve"> </w:t>
            </w:r>
            <w:r w:rsidRPr="00180997">
              <w:rPr>
                <w:sz w:val="22"/>
                <w:szCs w:val="22"/>
              </w:rPr>
              <w:t>as a tracker to invest in to measure the successes of the SEND</w:t>
            </w:r>
            <w:r w:rsidR="00381E1B">
              <w:rPr>
                <w:sz w:val="22"/>
                <w:szCs w:val="22"/>
              </w:rPr>
              <w:t>.</w:t>
            </w:r>
          </w:p>
          <w:p w14:paraId="02B584D5" w14:textId="77777777" w:rsidR="00EE369F" w:rsidRDefault="00EE369F" w:rsidP="00EE369F">
            <w:pPr>
              <w:pStyle w:val="TableRowCentered"/>
              <w:jc w:val="left"/>
              <w:rPr>
                <w:sz w:val="22"/>
                <w:szCs w:val="22"/>
              </w:rPr>
            </w:pPr>
          </w:p>
          <w:p w14:paraId="588A3B3D" w14:textId="1A6621F6" w:rsidR="00D45712" w:rsidRDefault="00EE369F" w:rsidP="00D45712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EE369F">
              <w:rPr>
                <w:b/>
                <w:sz w:val="22"/>
                <w:szCs w:val="22"/>
              </w:rPr>
              <w:t>June 2022</w:t>
            </w:r>
          </w:p>
          <w:p w14:paraId="33E19268" w14:textId="144A0540" w:rsidR="00EE369F" w:rsidRDefault="00EE369F" w:rsidP="00EE369F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2 staff meeting review of metacognitive approaches indicated raised pupils levels of awareness to drive their own learning.</w:t>
            </w:r>
          </w:p>
          <w:p w14:paraId="5B31A36C" w14:textId="5028F500" w:rsidR="00EE369F" w:rsidRPr="00EE369F" w:rsidRDefault="00EE369F" w:rsidP="00EE369F">
            <w:pPr>
              <w:pStyle w:val="TableRowCentered"/>
              <w:numPr>
                <w:ilvl w:val="0"/>
                <w:numId w:val="1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Triad reports indicate in the positive behaviour &amp; attitudes and pupil independence.</w:t>
            </w:r>
          </w:p>
          <w:p w14:paraId="1A4A701A" w14:textId="15D5F260" w:rsidR="007335E4" w:rsidRPr="00D45712" w:rsidRDefault="007335E4" w:rsidP="007335E4">
            <w:pPr>
              <w:pStyle w:val="TableRowCentered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8C0301" w14:paraId="2333324E" w14:textId="77777777" w:rsidTr="00381E1B">
        <w:trPr>
          <w:trHeight w:val="1504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2AEC" w14:textId="77777777" w:rsidR="008C0301" w:rsidRPr="00180997" w:rsidRDefault="008C0301" w:rsidP="00045088">
            <w:pPr>
              <w:pStyle w:val="TableRow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 xml:space="preserve">Improved oral language skills and vocabulary amongst disadvantaged pupils. 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548F" w14:textId="77777777" w:rsidR="008C0301" w:rsidRPr="00180997" w:rsidRDefault="008C0301" w:rsidP="00045088">
            <w:pPr>
              <w:pStyle w:val="TableRowCentered"/>
              <w:jc w:val="left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 xml:space="preserve">Assessments and observations indicate significantly improved </w:t>
            </w:r>
            <w:proofErr w:type="spellStart"/>
            <w:r w:rsidRPr="00180997">
              <w:rPr>
                <w:rFonts w:cs="Arial"/>
                <w:color w:val="auto"/>
                <w:sz w:val="22"/>
                <w:szCs w:val="22"/>
              </w:rPr>
              <w:t>oracy</w:t>
            </w:r>
            <w:proofErr w:type="spellEnd"/>
            <w:r w:rsidRPr="00180997">
              <w:rPr>
                <w:rFonts w:cs="Arial"/>
                <w:color w:val="auto"/>
                <w:sz w:val="22"/>
                <w:szCs w:val="22"/>
              </w:rPr>
              <w:t xml:space="preserve"> skills among disadvantaged pupils. </w:t>
            </w:r>
            <w:r w:rsidRPr="00180997">
              <w:rPr>
                <w:color w:val="auto"/>
                <w:sz w:val="22"/>
                <w:szCs w:val="22"/>
              </w:rPr>
              <w:t>This is evident when triangulated with other sources of evidence, including engagement with their peers and ongoing formative assessment.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3FC2" w14:textId="77777777" w:rsidR="00A67AFC" w:rsidRPr="00180997" w:rsidRDefault="00A67AFC" w:rsidP="00A67AFC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4325A05E" w14:textId="239A8E94" w:rsidR="00381E1B" w:rsidRDefault="00EE369F" w:rsidP="0072551B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Developing </w:t>
            </w:r>
            <w:proofErr w:type="spellStart"/>
            <w:r>
              <w:rPr>
                <w:sz w:val="22"/>
                <w:szCs w:val="22"/>
              </w:rPr>
              <w:t>o</w:t>
            </w:r>
            <w:r w:rsidR="00381E1B">
              <w:rPr>
                <w:sz w:val="22"/>
                <w:szCs w:val="22"/>
              </w:rPr>
              <w:t>racy</w:t>
            </w:r>
            <w:proofErr w:type="spellEnd"/>
            <w:r w:rsidR="00381E1B">
              <w:rPr>
                <w:sz w:val="22"/>
                <w:szCs w:val="22"/>
              </w:rPr>
              <w:t xml:space="preserve"> skills, the spoken language and embedding a varied vocabulary is a key focus of the EYFS curriculum.  This is then deepen through all curriculum areas.</w:t>
            </w:r>
          </w:p>
          <w:p w14:paraId="68B66862" w14:textId="77777777" w:rsidR="00E77A7D" w:rsidRDefault="00E77A7D" w:rsidP="00B375A1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 xml:space="preserve">Pupils support by DW Speak Write (speech &amp; language specialists) </w:t>
            </w:r>
            <w:r w:rsidR="00B375A1">
              <w:rPr>
                <w:sz w:val="22"/>
                <w:szCs w:val="22"/>
              </w:rPr>
              <w:t>5</w:t>
            </w:r>
            <w:r w:rsidRPr="00180997">
              <w:rPr>
                <w:sz w:val="22"/>
                <w:szCs w:val="22"/>
              </w:rPr>
              <w:t xml:space="preserve"> </w:t>
            </w:r>
            <w:r w:rsidR="00B375A1">
              <w:rPr>
                <w:sz w:val="22"/>
                <w:szCs w:val="22"/>
              </w:rPr>
              <w:t>DA pupils from the EYFS &amp; Y1</w:t>
            </w:r>
            <w:r w:rsidRPr="00180997">
              <w:rPr>
                <w:sz w:val="22"/>
                <w:szCs w:val="22"/>
              </w:rPr>
              <w:t xml:space="preserve"> </w:t>
            </w:r>
          </w:p>
          <w:p w14:paraId="6BA8AA5B" w14:textId="4E4BD991" w:rsidR="00D45712" w:rsidRDefault="00D45712" w:rsidP="00D45712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D45712">
              <w:rPr>
                <w:b/>
                <w:sz w:val="22"/>
                <w:szCs w:val="22"/>
              </w:rPr>
              <w:t>June 2022</w:t>
            </w:r>
          </w:p>
          <w:p w14:paraId="47DDCDF6" w14:textId="690CAAC4" w:rsidR="00D45712" w:rsidRPr="00C66EBB" w:rsidRDefault="00C66EBB" w:rsidP="00C66EBB">
            <w:pPr>
              <w:pStyle w:val="TableRowCentered"/>
              <w:numPr>
                <w:ilvl w:val="0"/>
                <w:numId w:val="15"/>
              </w:num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EYFS CAL (Listening &amp; Attention, &amp; speaking) 75% of PP met the EXS compared to 46% at data 1.</w:t>
            </w:r>
          </w:p>
        </w:tc>
      </w:tr>
      <w:tr w:rsidR="008C0301" w14:paraId="741821F2" w14:textId="77777777" w:rsidTr="00381E1B">
        <w:trPr>
          <w:trHeight w:val="84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AF4D" w14:textId="77777777" w:rsidR="008C0301" w:rsidRPr="00180997" w:rsidRDefault="008C0301" w:rsidP="00045088">
            <w:pPr>
              <w:pStyle w:val="TableRow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lastRenderedPageBreak/>
              <w:t>Improved reading writing &amp; maths attainment amongst disadvantaged pupils across KS 1 and 2.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1C6D" w14:textId="77777777" w:rsidR="008C0301" w:rsidRPr="00180997" w:rsidRDefault="008C0301" w:rsidP="00045088">
            <w:pPr>
              <w:pStyle w:val="TableRowCentered"/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180997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R, W &amp; M outcomes in 2024/25 show </w:t>
            </w:r>
            <w:r w:rsidRPr="00180997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80% or more of </w:t>
            </w:r>
            <w:r w:rsidRPr="00180997">
              <w:rPr>
                <w:rFonts w:cs="Arial"/>
                <w:color w:val="auto"/>
                <w:sz w:val="22"/>
                <w:szCs w:val="22"/>
                <w:lang w:eastAsia="en-US"/>
              </w:rPr>
              <w:t>disadvantaged pupils met the expected standard.</w:t>
            </w:r>
          </w:p>
          <w:p w14:paraId="17DE5A64" w14:textId="77777777" w:rsidR="008C0301" w:rsidRPr="00180997" w:rsidRDefault="008C0301" w:rsidP="00045088">
            <w:pPr>
              <w:pStyle w:val="TableRowCentered"/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</w:p>
          <w:p w14:paraId="483E6B2B" w14:textId="77777777" w:rsidR="008C0301" w:rsidRPr="00180997" w:rsidRDefault="008C0301" w:rsidP="00045088">
            <w:pPr>
              <w:pStyle w:val="TableRowCentered"/>
              <w:jc w:val="left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  <w:lang w:eastAsia="en-US"/>
              </w:rPr>
              <w:t>DA pupils working below expected attainment make accelerate rates of progress to close the DA attainment gap.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BC53" w14:textId="77777777" w:rsidR="00A67AFC" w:rsidRPr="00180997" w:rsidRDefault="00A67AFC" w:rsidP="00A67AFC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0E7AA958" w14:textId="77777777" w:rsidR="000B7265" w:rsidRDefault="00180997" w:rsidP="000B7265">
            <w:pPr>
              <w:pStyle w:val="TableRowCentered"/>
              <w:numPr>
                <w:ilvl w:val="0"/>
                <w:numId w:val="4"/>
              </w:numPr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180997">
              <w:rPr>
                <w:rFonts w:cs="Arial"/>
                <w:color w:val="auto"/>
                <w:sz w:val="22"/>
                <w:szCs w:val="22"/>
                <w:lang w:eastAsia="en-US"/>
              </w:rPr>
              <w:t>DA have mostly made expected progress, with some 18 of the 70</w:t>
            </w:r>
            <w:r w:rsidR="0003475F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180997">
              <w:rPr>
                <w:rFonts w:cs="Arial"/>
                <w:color w:val="auto"/>
                <w:sz w:val="22"/>
                <w:szCs w:val="22"/>
                <w:lang w:eastAsia="en-US"/>
              </w:rPr>
              <w:t>DA pupils making accelerated progress.  Whilst children have made accelerated progress this has not directly impacted on attainment, but has got some pupils getting closer to ARE.</w:t>
            </w:r>
          </w:p>
          <w:p w14:paraId="134B28D2" w14:textId="7840F073" w:rsidR="007335E4" w:rsidRPr="007335E4" w:rsidRDefault="007335E4" w:rsidP="007335E4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D45712">
              <w:rPr>
                <w:b/>
                <w:sz w:val="22"/>
                <w:szCs w:val="22"/>
              </w:rPr>
              <w:t>June 2022</w:t>
            </w:r>
          </w:p>
          <w:p w14:paraId="1927247F" w14:textId="6DBD0E02" w:rsidR="00AF42FF" w:rsidRDefault="00AF42FF" w:rsidP="00AF42FF">
            <w:pPr>
              <w:pStyle w:val="TableRowCentered"/>
              <w:numPr>
                <w:ilvl w:val="0"/>
                <w:numId w:val="4"/>
              </w:numPr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In reading 60% (9/15) of the PP achieved EXS, this is improved </w:t>
            </w:r>
            <w:r w:rsidR="000C0F6E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from 20% meeting the EXS </w:t>
            </w: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>data collection 1.  However of the NPP, 72% are at EXS (28/39)</w:t>
            </w:r>
          </w:p>
          <w:p w14:paraId="444DE9F4" w14:textId="109DE774" w:rsidR="00AF42FF" w:rsidRDefault="00AF42FF" w:rsidP="00AF42FF">
            <w:pPr>
              <w:pStyle w:val="TableRowCentered"/>
              <w:numPr>
                <w:ilvl w:val="0"/>
                <w:numId w:val="4"/>
              </w:numPr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In writing 40% (6/15) of the PP achieved the EXS, this is improved </w:t>
            </w:r>
            <w:r w:rsidR="000C0F6E">
              <w:rPr>
                <w:rFonts w:cs="Arial"/>
                <w:color w:val="auto"/>
                <w:sz w:val="22"/>
                <w:szCs w:val="22"/>
                <w:lang w:eastAsia="en-US"/>
              </w:rPr>
              <w:t>from 20% meeting the EXS at data collection 1.</w:t>
            </w:r>
          </w:p>
          <w:p w14:paraId="02AE273E" w14:textId="261F7219" w:rsidR="007335E4" w:rsidRDefault="007335E4" w:rsidP="00AF42FF">
            <w:pPr>
              <w:pStyle w:val="TableRowCentered"/>
              <w:numPr>
                <w:ilvl w:val="0"/>
                <w:numId w:val="4"/>
              </w:numPr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>In maths 53% (8/15) of PP achieved EXS</w:t>
            </w:r>
            <w:r w:rsidR="00AF42FF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, this is improved </w:t>
            </w:r>
            <w:r w:rsidR="000C0F6E">
              <w:rPr>
                <w:rFonts w:cs="Arial"/>
                <w:color w:val="auto"/>
                <w:sz w:val="22"/>
                <w:szCs w:val="22"/>
                <w:lang w:eastAsia="en-US"/>
              </w:rPr>
              <w:t>from 40%</w:t>
            </w:r>
            <w:r w:rsidR="00AF42FF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0C0F6E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meeting the EXS at </w:t>
            </w:r>
            <w:r w:rsidR="00AF42FF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data collection </w:t>
            </w:r>
            <w:r w:rsidR="000C0F6E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1.  </w:t>
            </w:r>
            <w:r w:rsidR="00AF42FF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However </w:t>
            </w: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of </w:t>
            </w:r>
            <w:r w:rsidR="00AF42FF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the </w:t>
            </w: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NPP </w:t>
            </w:r>
            <w:r w:rsidR="00AF42FF">
              <w:rPr>
                <w:rFonts w:cs="Arial"/>
                <w:color w:val="auto"/>
                <w:sz w:val="22"/>
                <w:szCs w:val="22"/>
                <w:lang w:eastAsia="en-US"/>
              </w:rPr>
              <w:t xml:space="preserve">77% are at EXS </w:t>
            </w: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>(30/39)</w:t>
            </w:r>
            <w:r w:rsidR="00AF42FF">
              <w:rPr>
                <w:rFonts w:cs="Arial"/>
                <w:color w:val="auto"/>
                <w:sz w:val="22"/>
                <w:szCs w:val="22"/>
                <w:lang w:eastAsia="en-US"/>
              </w:rPr>
              <w:t>.</w:t>
            </w:r>
          </w:p>
          <w:p w14:paraId="43558BEB" w14:textId="1F68ED1F" w:rsidR="00AF42FF" w:rsidRDefault="00AF42FF" w:rsidP="000C0F6E">
            <w:pPr>
              <w:pStyle w:val="TableRowCentered"/>
              <w:ind w:left="0"/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</w:p>
          <w:p w14:paraId="1DA23D58" w14:textId="421A85E5" w:rsidR="00AF42FF" w:rsidRPr="00180997" w:rsidRDefault="00AF42FF" w:rsidP="00AF42FF">
            <w:pPr>
              <w:pStyle w:val="TableRowCentered"/>
              <w:jc w:val="left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cs="Arial"/>
                <w:color w:val="auto"/>
                <w:sz w:val="22"/>
                <w:szCs w:val="22"/>
                <w:lang w:eastAsia="en-US"/>
              </w:rPr>
              <w:t>In summary the PP children are improving their attainment but still underperforming when compared to the NPP</w:t>
            </w:r>
          </w:p>
        </w:tc>
      </w:tr>
      <w:tr w:rsidR="008C0301" w14:paraId="68D0328F" w14:textId="77777777" w:rsidTr="00381E1B">
        <w:trPr>
          <w:trHeight w:val="677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3DF8" w14:textId="77777777" w:rsidR="008C0301" w:rsidRPr="00180997" w:rsidRDefault="008C0301" w:rsidP="00045088">
            <w:pPr>
              <w:pStyle w:val="TableRow"/>
              <w:tabs>
                <w:tab w:val="left" w:pos="2925"/>
              </w:tabs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Improved numbers of DA pupils meet at least school phonic milestones.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3313" w14:textId="77777777" w:rsidR="008C0301" w:rsidRPr="00180997" w:rsidRDefault="008C0301" w:rsidP="00045088">
            <w:pPr>
              <w:pStyle w:val="TableRowCentered"/>
              <w:jc w:val="left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Percentages of DA pupils achieve in line with non DA peers for the phonic screening checks.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F61" w14:textId="77777777" w:rsidR="00A67AFC" w:rsidRPr="00180997" w:rsidRDefault="00A67AFC" w:rsidP="00A67AFC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0D60BFF5" w14:textId="100974FD" w:rsidR="00381E1B" w:rsidRPr="00180997" w:rsidRDefault="00381E1B" w:rsidP="00381E1B">
            <w:pPr>
              <w:pStyle w:val="TableRowCentered"/>
              <w:numPr>
                <w:ilvl w:val="0"/>
                <w:numId w:val="4"/>
              </w:numPr>
              <w:jc w:val="lef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Intensive phonic teaching during the Autumn </w:t>
            </w:r>
          </w:p>
          <w:p w14:paraId="094A5506" w14:textId="464941B5" w:rsidR="000B7265" w:rsidRPr="00180997" w:rsidRDefault="000B7265" w:rsidP="00180997">
            <w:pPr>
              <w:pStyle w:val="TableRowCentered"/>
              <w:numPr>
                <w:ilvl w:val="0"/>
                <w:numId w:val="7"/>
              </w:numPr>
              <w:jc w:val="left"/>
              <w:rPr>
                <w:rFonts w:cs="Arial"/>
                <w:color w:val="auto"/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Of the 15 DA</w:t>
            </w:r>
            <w:r w:rsidR="00180997" w:rsidRPr="00180997">
              <w:rPr>
                <w:rFonts w:cs="Arial"/>
                <w:color w:val="auto"/>
                <w:sz w:val="22"/>
                <w:szCs w:val="22"/>
              </w:rPr>
              <w:t xml:space="preserve"> pupil</w:t>
            </w:r>
            <w:r w:rsidRPr="00180997">
              <w:rPr>
                <w:rFonts w:cs="Arial"/>
                <w:color w:val="auto"/>
                <w:sz w:val="22"/>
                <w:szCs w:val="22"/>
              </w:rPr>
              <w:t xml:space="preserve">s in Year 2 </w:t>
            </w:r>
            <w:r w:rsidR="00B60E7B">
              <w:rPr>
                <w:rFonts w:cs="Arial"/>
                <w:color w:val="auto"/>
                <w:sz w:val="22"/>
                <w:szCs w:val="22"/>
              </w:rPr>
              <w:t>11 pupils</w:t>
            </w:r>
            <w:r w:rsidRPr="00180997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B60E7B">
              <w:rPr>
                <w:rFonts w:cs="Arial"/>
                <w:color w:val="auto"/>
                <w:sz w:val="22"/>
                <w:szCs w:val="22"/>
              </w:rPr>
              <w:t xml:space="preserve">73% </w:t>
            </w:r>
            <w:r w:rsidRPr="00180997">
              <w:rPr>
                <w:rFonts w:cs="Arial"/>
                <w:color w:val="auto"/>
                <w:sz w:val="22"/>
                <w:szCs w:val="22"/>
              </w:rPr>
              <w:t xml:space="preserve">passed their phonic screening.  </w:t>
            </w:r>
            <w:r w:rsidR="00180997" w:rsidRPr="00180997">
              <w:rPr>
                <w:rFonts w:cs="Arial"/>
                <w:color w:val="auto"/>
                <w:sz w:val="22"/>
                <w:szCs w:val="22"/>
              </w:rPr>
              <w:t xml:space="preserve">2 </w:t>
            </w:r>
            <w:r w:rsidR="00B60E7B">
              <w:rPr>
                <w:rFonts w:cs="Arial"/>
                <w:color w:val="auto"/>
                <w:sz w:val="22"/>
                <w:szCs w:val="22"/>
              </w:rPr>
              <w:t xml:space="preserve">of these </w:t>
            </w:r>
            <w:r w:rsidR="00180997" w:rsidRPr="00180997">
              <w:rPr>
                <w:rFonts w:cs="Arial"/>
                <w:color w:val="auto"/>
                <w:sz w:val="22"/>
                <w:szCs w:val="22"/>
              </w:rPr>
              <w:t xml:space="preserve">DA </w:t>
            </w:r>
            <w:r w:rsidR="00B60E7B">
              <w:rPr>
                <w:rFonts w:cs="Arial"/>
                <w:color w:val="auto"/>
                <w:sz w:val="22"/>
                <w:szCs w:val="22"/>
              </w:rPr>
              <w:t>pupils were dis-applied due to significant learning needs (EHCP). 2018 national was 82% pass rate.</w:t>
            </w:r>
          </w:p>
          <w:p w14:paraId="4177837E" w14:textId="77777777" w:rsidR="00180997" w:rsidRDefault="00DF3C92" w:rsidP="00180997">
            <w:pPr>
              <w:pStyle w:val="TableRowCentered"/>
              <w:numPr>
                <w:ilvl w:val="0"/>
                <w:numId w:val="7"/>
              </w:numPr>
              <w:jc w:val="lef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Y1 data indicates that 3/12 of the DA pupils are on track in phonics (24%).  Of these DA pupils 5 are SEN (42%)</w:t>
            </w:r>
          </w:p>
          <w:p w14:paraId="4ACF935C" w14:textId="254184FC" w:rsidR="00DF3C92" w:rsidRDefault="00DF3C92" w:rsidP="00180997">
            <w:pPr>
              <w:pStyle w:val="TableRowCentered"/>
              <w:numPr>
                <w:ilvl w:val="0"/>
                <w:numId w:val="7"/>
              </w:numPr>
              <w:jc w:val="lef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YR data indicates that 7/12 of the DA pupils are on track for their phonics (58%)</w:t>
            </w:r>
          </w:p>
          <w:p w14:paraId="5D9790B6" w14:textId="77777777" w:rsidR="007335E4" w:rsidRDefault="007335E4" w:rsidP="007335E4">
            <w:pPr>
              <w:pStyle w:val="TableRowCentered"/>
              <w:ind w:left="777"/>
              <w:jc w:val="left"/>
              <w:rPr>
                <w:rFonts w:cs="Arial"/>
                <w:color w:val="auto"/>
                <w:sz w:val="22"/>
                <w:szCs w:val="22"/>
              </w:rPr>
            </w:pPr>
          </w:p>
          <w:p w14:paraId="5B19B1D8" w14:textId="77777777" w:rsidR="007335E4" w:rsidRDefault="007335E4" w:rsidP="007335E4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D45712">
              <w:rPr>
                <w:b/>
                <w:sz w:val="22"/>
                <w:szCs w:val="22"/>
              </w:rPr>
              <w:t>June 2022</w:t>
            </w:r>
          </w:p>
          <w:p w14:paraId="03C8A0E3" w14:textId="77777777" w:rsidR="007335E4" w:rsidRDefault="007335E4" w:rsidP="007335E4">
            <w:pPr>
              <w:pStyle w:val="TableRowCentered"/>
              <w:numPr>
                <w:ilvl w:val="0"/>
                <w:numId w:val="12"/>
              </w:numPr>
              <w:jc w:val="left"/>
              <w:rPr>
                <w:sz w:val="22"/>
                <w:szCs w:val="22"/>
              </w:rPr>
            </w:pPr>
            <w:r w:rsidRPr="00D45712">
              <w:rPr>
                <w:sz w:val="22"/>
                <w:szCs w:val="22"/>
              </w:rPr>
              <w:t>11/15 PP 73% passed the Y1 phonic screen (the 4 that did not are SEN 2 with EHCP).  This is higher than national with 71% of DA meeting the EXS</w:t>
            </w:r>
            <w:r>
              <w:rPr>
                <w:sz w:val="22"/>
                <w:szCs w:val="22"/>
              </w:rPr>
              <w:t>, however compared to the NP, they achieved high results with 90% 26/29 pupils.</w:t>
            </w:r>
          </w:p>
          <w:p w14:paraId="30E553E5" w14:textId="642DC446" w:rsidR="007335E4" w:rsidRPr="00180997" w:rsidRDefault="007335E4" w:rsidP="007335E4">
            <w:pPr>
              <w:pStyle w:val="TableRowCentered"/>
              <w:jc w:val="left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C0301" w14:paraId="28872841" w14:textId="77777777" w:rsidTr="00381E1B">
        <w:trPr>
          <w:trHeight w:val="1802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84E6" w14:textId="77777777" w:rsidR="008C0301" w:rsidRPr="00180997" w:rsidRDefault="008C0301" w:rsidP="00045088">
            <w:pPr>
              <w:pStyle w:val="TableRow"/>
              <w:tabs>
                <w:tab w:val="left" w:pos="2925"/>
              </w:tabs>
              <w:rPr>
                <w:rFonts w:cs="Arial"/>
                <w:color w:val="auto"/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lastRenderedPageBreak/>
              <w:t>Increase the number of disadvantaged pupils working above ARE.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2313" w14:textId="77777777" w:rsidR="008C0301" w:rsidRPr="00180997" w:rsidRDefault="008C0301" w:rsidP="00045088">
            <w:pPr>
              <w:pStyle w:val="TableRowCentered"/>
              <w:jc w:val="left"/>
              <w:rPr>
                <w:rFonts w:cs="Arial"/>
                <w:color w:val="auto"/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Percentages of DA pupils working above ARE fall in line with non DA peers in reading, writing and maths.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A9D5" w14:textId="77777777" w:rsidR="00A67AFC" w:rsidRPr="00180997" w:rsidRDefault="00A67AFC" w:rsidP="00A67AFC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1C8993E6" w14:textId="68B85BAC" w:rsidR="00381E1B" w:rsidRDefault="00381E1B" w:rsidP="00180997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 overview of DA performance shared with teachers &amp; SLT.</w:t>
            </w:r>
          </w:p>
          <w:p w14:paraId="03A1C8E1" w14:textId="15568B74" w:rsidR="00381E1B" w:rsidRDefault="00381E1B" w:rsidP="00180997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pupils being a focus the Pupil progress meetings.</w:t>
            </w:r>
          </w:p>
          <w:p w14:paraId="0BD3A656" w14:textId="77777777" w:rsidR="00363BD6" w:rsidRDefault="00180997" w:rsidP="00180997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 xml:space="preserve">DA attainment remains a concern, with a significant gap in attainment when comparing the DA V NDA. </w:t>
            </w:r>
          </w:p>
          <w:p w14:paraId="3C2E225A" w14:textId="30B247C8" w:rsidR="00180997" w:rsidRPr="00180997" w:rsidRDefault="00363BD6" w:rsidP="00180997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Targeted additional intervention secured in KS1</w:t>
            </w:r>
            <w:r w:rsidR="00180997" w:rsidRPr="001809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 raise pupil attainment in R &amp; W.</w:t>
            </w:r>
          </w:p>
          <w:p w14:paraId="7679B5FC" w14:textId="49598434" w:rsidR="008C0301" w:rsidRDefault="00180997" w:rsidP="00180997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>The strongest cohort is Y4 with over 58% (7/12) of the DA pupils on track or above.</w:t>
            </w:r>
          </w:p>
          <w:p w14:paraId="0A318C72" w14:textId="77777777" w:rsidR="00EE369F" w:rsidRDefault="00EE369F" w:rsidP="00EE369F">
            <w:pPr>
              <w:pStyle w:val="TableRowCentered"/>
              <w:ind w:left="777"/>
              <w:jc w:val="left"/>
              <w:rPr>
                <w:sz w:val="22"/>
                <w:szCs w:val="22"/>
              </w:rPr>
            </w:pPr>
          </w:p>
          <w:p w14:paraId="5766ECDA" w14:textId="2206D179" w:rsidR="00EE369F" w:rsidRDefault="00EE369F" w:rsidP="00EE369F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EE369F">
              <w:rPr>
                <w:b/>
                <w:sz w:val="22"/>
                <w:szCs w:val="22"/>
              </w:rPr>
              <w:t>June 2022</w:t>
            </w:r>
          </w:p>
          <w:p w14:paraId="7A9EC92C" w14:textId="727DDEB2" w:rsidR="00EE369F" w:rsidRPr="00EE369F" w:rsidRDefault="00EE369F" w:rsidP="00EE369F">
            <w:pPr>
              <w:pStyle w:val="TableRowCentered"/>
              <w:numPr>
                <w:ilvl w:val="0"/>
                <w:numId w:val="4"/>
              </w:numPr>
              <w:jc w:val="left"/>
              <w:rPr>
                <w:sz w:val="22"/>
                <w:szCs w:val="22"/>
              </w:rPr>
            </w:pPr>
            <w:r w:rsidRPr="00EE369F">
              <w:rPr>
                <w:sz w:val="22"/>
                <w:szCs w:val="22"/>
              </w:rPr>
              <w:t xml:space="preserve">Gains </w:t>
            </w:r>
            <w:r>
              <w:rPr>
                <w:sz w:val="22"/>
                <w:szCs w:val="22"/>
              </w:rPr>
              <w:t>from YR to Y3 in R, W &amp; M for PP as indicated below.</w:t>
            </w:r>
          </w:p>
          <w:tbl>
            <w:tblPr>
              <w:tblStyle w:val="TableGrid"/>
              <w:tblW w:w="8583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438"/>
              <w:gridCol w:w="82"/>
              <w:gridCol w:w="503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32"/>
              <w:gridCol w:w="508"/>
              <w:gridCol w:w="540"/>
              <w:gridCol w:w="540"/>
              <w:gridCol w:w="540"/>
              <w:gridCol w:w="540"/>
            </w:tblGrid>
            <w:tr w:rsidR="00EE369F" w14:paraId="05CE4303" w14:textId="77777777" w:rsidTr="00EE369F">
              <w:trPr>
                <w:trHeight w:val="347"/>
                <w:jc w:val="center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DB4DA" w14:textId="352602B1" w:rsidR="00EE369F" w:rsidRDefault="00EE369F" w:rsidP="00EE369F">
                  <w:pPr>
                    <w:spacing w:after="0" w:line="240" w:lineRule="auto"/>
                    <w:rPr>
                      <w:rFonts w:ascii="Comic Sans MS" w:hAnsi="Comic Sans MS"/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7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66"/>
                  <w:hideMark/>
                </w:tcPr>
                <w:p w14:paraId="395FE9DC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eastAsia="MS MinNew Roman" w:hAnsi="Comic Sans MS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E369F">
                    <w:rPr>
                      <w:rFonts w:ascii="Comic Sans MS" w:eastAsia="MS MinNew Roman" w:hAnsi="Comic Sans MS"/>
                      <w:b/>
                      <w:bCs/>
                      <w:color w:val="0000FF"/>
                      <w:sz w:val="20"/>
                      <w:szCs w:val="20"/>
                    </w:rPr>
                    <w:t>Reading</w:t>
                  </w:r>
                </w:p>
              </w:tc>
              <w:tc>
                <w:tcPr>
                  <w:tcW w:w="27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66"/>
                  <w:hideMark/>
                </w:tcPr>
                <w:p w14:paraId="2F9B6E85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eastAsia="MS MinNew Roman" w:hAnsi="Comic Sans MS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EE369F">
                    <w:rPr>
                      <w:rFonts w:ascii="Comic Sans MS" w:eastAsia="MS MinNew Roman" w:hAnsi="Comic Sans MS"/>
                      <w:b/>
                      <w:bCs/>
                      <w:color w:val="0000FF"/>
                      <w:sz w:val="20"/>
                      <w:szCs w:val="20"/>
                    </w:rPr>
                    <w:t>Writing</w:t>
                  </w:r>
                </w:p>
              </w:tc>
              <w:tc>
                <w:tcPr>
                  <w:tcW w:w="26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66"/>
                  <w:hideMark/>
                </w:tcPr>
                <w:p w14:paraId="78EBB6BC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eastAsiaTheme="minorHAnsi" w:hAnsi="Comic Sans MS"/>
                      <w:b/>
                      <w:color w:val="auto"/>
                      <w:sz w:val="20"/>
                      <w:szCs w:val="20"/>
                    </w:rPr>
                  </w:pPr>
                  <w:r w:rsidRPr="00EE369F">
                    <w:rPr>
                      <w:rFonts w:ascii="Comic Sans MS" w:eastAsia="MS MinNew Roman" w:hAnsi="Comic Sans MS"/>
                      <w:b/>
                      <w:bCs/>
                      <w:color w:val="0000FF"/>
                      <w:sz w:val="20"/>
                      <w:szCs w:val="20"/>
                    </w:rPr>
                    <w:t>Maths</w:t>
                  </w:r>
                </w:p>
              </w:tc>
            </w:tr>
            <w:tr w:rsidR="00EE369F" w14:paraId="4E2EFF43" w14:textId="77777777" w:rsidTr="00EE369F">
              <w:trPr>
                <w:trHeight w:val="140"/>
                <w:jc w:val="center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D6F2E" w14:textId="77777777" w:rsid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CF0E2E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YR</w:t>
                  </w:r>
                </w:p>
                <w:p w14:paraId="295FC5B7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13</w:t>
                  </w:r>
                </w:p>
                <w:p w14:paraId="5A30D080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2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BBA23B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Y1</w:t>
                  </w:r>
                </w:p>
                <w:p w14:paraId="424B8235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15</w:t>
                  </w:r>
                </w:p>
                <w:p w14:paraId="65CEFDB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5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E98810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Y2</w:t>
                  </w:r>
                </w:p>
                <w:p w14:paraId="2A15BB6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16</w:t>
                  </w:r>
                </w:p>
                <w:p w14:paraId="1EC46133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5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D1AD21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Y3</w:t>
                  </w:r>
                </w:p>
                <w:p w14:paraId="7CEBAF64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16</w:t>
                  </w:r>
                </w:p>
                <w:p w14:paraId="78B47873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4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7DCDFC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Y4</w:t>
                  </w:r>
                </w:p>
                <w:p w14:paraId="7B542046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12</w:t>
                  </w:r>
                </w:p>
                <w:p w14:paraId="65671490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4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8CD152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YR</w:t>
                  </w:r>
                </w:p>
                <w:p w14:paraId="3B471E0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13</w:t>
                  </w:r>
                </w:p>
                <w:p w14:paraId="32584B03" w14:textId="77777777" w:rsidR="00EE369F" w:rsidRPr="00EE369F" w:rsidRDefault="00EE369F" w:rsidP="00EE369F">
                  <w:pPr>
                    <w:spacing w:after="0" w:line="240" w:lineRule="auto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2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4282B8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Y1</w:t>
                  </w:r>
                </w:p>
                <w:p w14:paraId="129D6B0B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14</w:t>
                  </w:r>
                </w:p>
                <w:p w14:paraId="3C204031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5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4B6CAD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Y2</w:t>
                  </w:r>
                </w:p>
                <w:p w14:paraId="349502D6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15</w:t>
                  </w:r>
                </w:p>
                <w:p w14:paraId="539AAB5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5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C6CD7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Y3</w:t>
                  </w:r>
                </w:p>
                <w:p w14:paraId="44D86971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16</w:t>
                  </w:r>
                </w:p>
                <w:p w14:paraId="3D51FF46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4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BAF780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Y4</w:t>
                  </w:r>
                </w:p>
                <w:p w14:paraId="58B59F86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12</w:t>
                  </w:r>
                </w:p>
                <w:p w14:paraId="4AB5B018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4 SEN</w:t>
                  </w:r>
                </w:p>
              </w:tc>
              <w:tc>
                <w:tcPr>
                  <w:tcW w:w="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316F72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YR</w:t>
                  </w:r>
                </w:p>
                <w:p w14:paraId="7E8D4360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13</w:t>
                  </w:r>
                </w:p>
                <w:p w14:paraId="0C5EA759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2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46C359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Y1</w:t>
                  </w:r>
                </w:p>
                <w:p w14:paraId="03C0E1C9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14</w:t>
                  </w:r>
                </w:p>
                <w:p w14:paraId="19A29531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5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4242FC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Y2</w:t>
                  </w:r>
                </w:p>
                <w:p w14:paraId="42106A47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15</w:t>
                  </w:r>
                </w:p>
                <w:p w14:paraId="0ACA107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5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E77E6E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Y3</w:t>
                  </w:r>
                </w:p>
                <w:p w14:paraId="3FE9EE78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16</w:t>
                  </w:r>
                </w:p>
                <w:p w14:paraId="0C6E4764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4 SEN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B579F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Y4</w:t>
                  </w:r>
                </w:p>
                <w:p w14:paraId="361563EE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12</w:t>
                  </w:r>
                </w:p>
                <w:p w14:paraId="6DA781E4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 w:rsidRPr="00EE369F">
                    <w:rPr>
                      <w:rFonts w:cs="Arial"/>
                      <w:b/>
                      <w:sz w:val="14"/>
                      <w:szCs w:val="14"/>
                    </w:rPr>
                    <w:t>4 SEN</w:t>
                  </w:r>
                </w:p>
              </w:tc>
            </w:tr>
            <w:tr w:rsidR="00EE369F" w14:paraId="3E51A3AA" w14:textId="77777777" w:rsidTr="00EE369F">
              <w:trPr>
                <w:trHeight w:val="140"/>
                <w:jc w:val="center"/>
              </w:trPr>
              <w:tc>
                <w:tcPr>
                  <w:tcW w:w="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39BDB" w14:textId="612DF119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  <w:r>
                    <w:rPr>
                      <w:rFonts w:ascii="Comic Sans MS" w:hAnsi="Comic Sans MS"/>
                      <w:sz w:val="10"/>
                      <w:szCs w:val="10"/>
                    </w:rPr>
                    <w:t xml:space="preserve">Data </w:t>
                  </w:r>
                  <w:r w:rsidRPr="00EE369F">
                    <w:rPr>
                      <w:rFonts w:ascii="Comic Sans MS" w:hAnsi="Comic Sans MS"/>
                      <w:sz w:val="10"/>
                      <w:szCs w:val="10"/>
                    </w:rPr>
                    <w:t>1  EXS &amp; GDS</w:t>
                  </w: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7F1DB1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46%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A2CFF6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21%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110735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20%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4E3307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32%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0864E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58%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1448E4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23%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3D0B2D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21%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E2879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20%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78F903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31%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F5A84E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58%</w:t>
                  </w:r>
                </w:p>
              </w:tc>
              <w:tc>
                <w:tcPr>
                  <w:tcW w:w="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46855D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54%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771022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36%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B2CFE8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color w:val="000000" w:themeColor="text1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40%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DEABC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color w:val="auto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38%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71E457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 w:cs="Arial"/>
                      <w:sz w:val="14"/>
                      <w:szCs w:val="14"/>
                    </w:rPr>
                    <w:t>58%</w:t>
                  </w:r>
                </w:p>
              </w:tc>
            </w:tr>
            <w:tr w:rsidR="00EE369F" w14:paraId="25082056" w14:textId="77777777" w:rsidTr="00EE369F">
              <w:trPr>
                <w:trHeight w:val="140"/>
                <w:jc w:val="center"/>
              </w:trPr>
              <w:tc>
                <w:tcPr>
                  <w:tcW w:w="5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0843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  <w:r w:rsidRPr="00EE369F">
                    <w:rPr>
                      <w:rFonts w:ascii="Comic Sans MS" w:hAnsi="Comic Sans MS"/>
                      <w:sz w:val="10"/>
                      <w:szCs w:val="10"/>
                    </w:rPr>
                    <w:t>Data 3  EXS &amp; GDS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DD8C3E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67%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5A2B4D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40%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3BD75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56%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C1823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44%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AE699A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</w:rPr>
                    <w:t>58%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16140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00B050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75%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0C587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auto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40%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ABB9D4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38%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04F4F8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38%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36D125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</w:rPr>
                    <w:t>58%</w:t>
                  </w:r>
                </w:p>
              </w:tc>
              <w:tc>
                <w:tcPr>
                  <w:tcW w:w="5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024670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00B050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67%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553A42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color w:val="auto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53%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A8F4AF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50%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BF970C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  <w:highlight w:val="green"/>
                    </w:rPr>
                    <w:t>44%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12670C" w14:textId="77777777" w:rsidR="00EE369F" w:rsidRPr="00EE369F" w:rsidRDefault="00EE369F" w:rsidP="00EE369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EE369F">
                    <w:rPr>
                      <w:rFonts w:ascii="Comic Sans MS" w:hAnsi="Comic Sans MS"/>
                      <w:sz w:val="14"/>
                      <w:szCs w:val="14"/>
                    </w:rPr>
                    <w:t>58%</w:t>
                  </w:r>
                </w:p>
              </w:tc>
            </w:tr>
          </w:tbl>
          <w:p w14:paraId="35B98098" w14:textId="2C035660" w:rsidR="00EE369F" w:rsidRPr="00180997" w:rsidRDefault="00EE369F" w:rsidP="000C0F6E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  <w:tr w:rsidR="008C0301" w14:paraId="3474818A" w14:textId="77777777" w:rsidTr="00381E1B">
        <w:trPr>
          <w:trHeight w:val="170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01B4" w14:textId="77777777" w:rsidR="008C0301" w:rsidRPr="00180997" w:rsidRDefault="008C0301" w:rsidP="00045088">
            <w:pPr>
              <w:pStyle w:val="TableRow"/>
              <w:tabs>
                <w:tab w:val="left" w:pos="2925"/>
              </w:tabs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To achieve and sustain improved wellbeing support for all pupils in our school, particularly our disadvantaged pupils.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4A28" w14:textId="77777777" w:rsidR="008C0301" w:rsidRPr="00180997" w:rsidRDefault="008C0301" w:rsidP="00045088">
            <w:pPr>
              <w:suppressAutoHyphens w:val="0"/>
              <w:autoSpaceDN/>
              <w:spacing w:before="60" w:after="60" w:line="240" w:lineRule="auto"/>
              <w:ind w:left="34" w:right="57"/>
              <w:rPr>
                <w:rFonts w:cs="Arial"/>
                <w:color w:val="auto"/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Sustained high levels of wellbeing from 2024/25 demonstrated by:</w:t>
            </w:r>
          </w:p>
          <w:p w14:paraId="629FAC5B" w14:textId="77777777" w:rsidR="008C0301" w:rsidRPr="00180997" w:rsidRDefault="008C0301" w:rsidP="008C0301">
            <w:pPr>
              <w:pStyle w:val="ListParagraph"/>
              <w:numPr>
                <w:ilvl w:val="0"/>
                <w:numId w:val="2"/>
              </w:numPr>
              <w:suppressAutoHyphens w:val="0"/>
              <w:autoSpaceDN/>
              <w:spacing w:before="60" w:after="120" w:line="240" w:lineRule="auto"/>
              <w:ind w:right="57" w:hanging="357"/>
              <w:contextualSpacing w:val="0"/>
              <w:rPr>
                <w:rFonts w:cs="Arial"/>
                <w:color w:val="auto"/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qualitative data from pupil voice, parent voice/feedback</w:t>
            </w:r>
          </w:p>
          <w:p w14:paraId="22A4185F" w14:textId="77777777" w:rsidR="008C0301" w:rsidRPr="00180997" w:rsidRDefault="008C0301" w:rsidP="008C0301">
            <w:pPr>
              <w:pStyle w:val="TableRowCentered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 xml:space="preserve">a significant increase in participation in enrichment activities, particularly among disadvantaged pupils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623" w14:textId="77777777" w:rsidR="00A67AFC" w:rsidRPr="00180997" w:rsidRDefault="00A67AFC" w:rsidP="00A67AFC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3C44DBF2" w14:textId="5C5C4B5E" w:rsidR="008C0301" w:rsidRDefault="00381E1B" w:rsidP="00381E1B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Triple </w:t>
            </w:r>
            <w:proofErr w:type="gramStart"/>
            <w:r>
              <w:rPr>
                <w:rFonts w:cs="Arial"/>
                <w:color w:val="auto"/>
                <w:sz w:val="22"/>
                <w:szCs w:val="22"/>
              </w:rPr>
              <w:t>A</w:t>
            </w:r>
            <w:proofErr w:type="gramEnd"/>
            <w:r>
              <w:rPr>
                <w:rFonts w:cs="Arial"/>
                <w:color w:val="auto"/>
                <w:sz w:val="22"/>
                <w:szCs w:val="22"/>
              </w:rPr>
              <w:t xml:space="preserve"> strategy completed to assess the varied needs of a selected DA group to case study.</w:t>
            </w:r>
          </w:p>
          <w:p w14:paraId="6AF22846" w14:textId="77777777" w:rsidR="00381E1B" w:rsidRDefault="0030456A" w:rsidP="0030456A">
            <w:pPr>
              <w:pStyle w:val="ListParagraph"/>
              <w:numPr>
                <w:ilvl w:val="0"/>
                <w:numId w:val="8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Sample </w:t>
            </w:r>
            <w:r w:rsidR="00381E1B">
              <w:rPr>
                <w:rFonts w:cs="Arial"/>
                <w:color w:val="auto"/>
                <w:sz w:val="22"/>
                <w:szCs w:val="22"/>
              </w:rPr>
              <w:t xml:space="preserve">Club </w:t>
            </w:r>
            <w:r w:rsidR="00381E1B" w:rsidRPr="0030456A">
              <w:rPr>
                <w:rFonts w:cs="Arial"/>
                <w:color w:val="auto"/>
                <w:sz w:val="22"/>
                <w:szCs w:val="22"/>
              </w:rPr>
              <w:t>attendance</w:t>
            </w:r>
            <w:r w:rsidRPr="0030456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03475F" w:rsidRPr="0030456A">
              <w:rPr>
                <w:rFonts w:cs="Arial"/>
                <w:color w:val="auto"/>
                <w:sz w:val="22"/>
                <w:szCs w:val="22"/>
              </w:rPr>
              <w:t>Inspire Dance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03475F" w:rsidRPr="0003475F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cs="Arial"/>
                <w:color w:val="auto"/>
                <w:sz w:val="22"/>
                <w:szCs w:val="22"/>
              </w:rPr>
              <w:t>of which 5/23 DA pupils attend 22%</w:t>
            </w:r>
            <w:r w:rsidR="0003475F" w:rsidRPr="0003475F">
              <w:rPr>
                <w:rFonts w:cs="Arial"/>
                <w:color w:val="auto"/>
                <w:sz w:val="22"/>
                <w:szCs w:val="22"/>
              </w:rPr>
              <w:t xml:space="preserve">   </w:t>
            </w:r>
          </w:p>
          <w:p w14:paraId="559767CA" w14:textId="77777777" w:rsidR="00C66EBB" w:rsidRDefault="00C66EBB" w:rsidP="00C66EBB">
            <w:p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</w:p>
          <w:p w14:paraId="787687A9" w14:textId="77777777" w:rsidR="00C66EBB" w:rsidRDefault="00C66EBB" w:rsidP="00C66EBB">
            <w:p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b/>
                <w:color w:val="auto"/>
                <w:sz w:val="22"/>
                <w:szCs w:val="22"/>
              </w:rPr>
            </w:pPr>
            <w:r w:rsidRPr="00C66EBB">
              <w:rPr>
                <w:rFonts w:cs="Arial"/>
                <w:b/>
                <w:color w:val="auto"/>
                <w:sz w:val="22"/>
                <w:szCs w:val="22"/>
              </w:rPr>
              <w:t>June 2022</w:t>
            </w:r>
          </w:p>
          <w:p w14:paraId="4B8D9A34" w14:textId="15C02816" w:rsidR="00C66EBB" w:rsidRDefault="00C66EBB" w:rsidP="00C66EBB">
            <w:pPr>
              <w:pStyle w:val="ListParagraph"/>
              <w:numPr>
                <w:ilvl w:val="0"/>
                <w:numId w:val="16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 w:rsidRPr="00C66EBB">
              <w:rPr>
                <w:rFonts w:cs="Arial"/>
                <w:color w:val="auto"/>
                <w:sz w:val="22"/>
                <w:szCs w:val="22"/>
              </w:rPr>
              <w:t xml:space="preserve">All year groups have </w:t>
            </w:r>
            <w:r>
              <w:rPr>
                <w:rFonts w:cs="Arial"/>
                <w:color w:val="auto"/>
                <w:sz w:val="22"/>
                <w:szCs w:val="22"/>
              </w:rPr>
              <w:t>enjoyed parent assemblies, forest school parent engagements and a learning based parent engagement session.  100% of PP parents attended.</w:t>
            </w:r>
          </w:p>
          <w:p w14:paraId="0C47AAEA" w14:textId="38135EB6" w:rsidR="00C66EBB" w:rsidRPr="00C66EBB" w:rsidRDefault="003840CA" w:rsidP="00C66EBB">
            <w:pPr>
              <w:pStyle w:val="ListParagraph"/>
              <w:numPr>
                <w:ilvl w:val="0"/>
                <w:numId w:val="16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7 DA pupils are currently attending an early morning nurture group.  Impact is yet to be measured, this has only just begun.</w:t>
            </w:r>
          </w:p>
        </w:tc>
      </w:tr>
      <w:tr w:rsidR="008C0301" w14:paraId="6395BC05" w14:textId="77777777" w:rsidTr="00363BD6">
        <w:trPr>
          <w:trHeight w:val="1408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5D40" w14:textId="77777777" w:rsidR="008C0301" w:rsidRPr="00180997" w:rsidRDefault="008C0301" w:rsidP="00045088">
            <w:pPr>
              <w:pStyle w:val="TableRow"/>
              <w:tabs>
                <w:tab w:val="left" w:pos="2925"/>
              </w:tabs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lastRenderedPageBreak/>
              <w:t>To achieve and sustain improved attendance for all pupils, particularly our disadvantaged pupils.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6373" w14:textId="77777777" w:rsidR="008C0301" w:rsidRPr="00180997" w:rsidRDefault="008C0301" w:rsidP="00045088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Sustained high attendance from 2024/25 demonstrated by:</w:t>
            </w:r>
          </w:p>
          <w:p w14:paraId="340C0EB7" w14:textId="77777777" w:rsidR="008C0301" w:rsidRPr="00180997" w:rsidRDefault="008C0301" w:rsidP="008C0301">
            <w:pPr>
              <w:pStyle w:val="ListParagraph"/>
              <w:numPr>
                <w:ilvl w:val="0"/>
                <w:numId w:val="3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proofErr w:type="gramStart"/>
            <w:r w:rsidRPr="00180997">
              <w:rPr>
                <w:rFonts w:cs="Arial"/>
                <w:color w:val="auto"/>
                <w:sz w:val="22"/>
                <w:szCs w:val="22"/>
              </w:rPr>
              <w:t>the</w:t>
            </w:r>
            <w:proofErr w:type="gramEnd"/>
            <w:r w:rsidRPr="00180997">
              <w:rPr>
                <w:rFonts w:cs="Arial"/>
                <w:color w:val="auto"/>
                <w:sz w:val="22"/>
                <w:szCs w:val="22"/>
              </w:rPr>
              <w:t xml:space="preserve"> attendance gap between disadvantaged pupils and all non-disadvantaged pupils being closed.</w:t>
            </w:r>
          </w:p>
          <w:p w14:paraId="4D9D5773" w14:textId="77777777" w:rsidR="008C0301" w:rsidRPr="00180997" w:rsidRDefault="008C0301" w:rsidP="008C0301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proofErr w:type="gramStart"/>
            <w:r w:rsidRPr="00180997">
              <w:rPr>
                <w:rFonts w:cs="Arial"/>
                <w:color w:val="auto"/>
                <w:sz w:val="22"/>
                <w:szCs w:val="22"/>
              </w:rPr>
              <w:t>the</w:t>
            </w:r>
            <w:proofErr w:type="gramEnd"/>
            <w:r w:rsidRPr="00180997">
              <w:rPr>
                <w:rFonts w:cs="Arial"/>
                <w:color w:val="auto"/>
                <w:sz w:val="22"/>
                <w:szCs w:val="22"/>
              </w:rPr>
              <w:t xml:space="preserve"> percentage of all disadvantaged pupils who are persistently absent  is in line with their peers.</w:t>
            </w:r>
          </w:p>
          <w:p w14:paraId="2830AFDE" w14:textId="77777777" w:rsidR="008C0301" w:rsidRPr="00180997" w:rsidRDefault="008C0301" w:rsidP="008C0301">
            <w:pPr>
              <w:pStyle w:val="TableRowCentered"/>
              <w:numPr>
                <w:ilvl w:val="0"/>
                <w:numId w:val="3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rFonts w:cs="Arial"/>
                <w:color w:val="auto"/>
                <w:sz w:val="22"/>
                <w:szCs w:val="22"/>
              </w:rPr>
              <w:t>Improved annual attendance, from individuals.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BB4" w14:textId="77777777" w:rsidR="00A67AFC" w:rsidRPr="00180997" w:rsidRDefault="00A67AFC" w:rsidP="00A67AFC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1280B1B7" w14:textId="5DB74EF1" w:rsidR="008C0301" w:rsidRDefault="0003475F" w:rsidP="0003475F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DA attenda</w:t>
            </w:r>
            <w:r w:rsidR="0030456A">
              <w:rPr>
                <w:rFonts w:cs="Arial"/>
                <w:color w:val="auto"/>
                <w:sz w:val="22"/>
                <w:szCs w:val="22"/>
              </w:rPr>
              <w:t>nce is 94% below national at 95.</w:t>
            </w:r>
            <w:r>
              <w:rPr>
                <w:rFonts w:cs="Arial"/>
                <w:color w:val="auto"/>
                <w:sz w:val="22"/>
                <w:szCs w:val="22"/>
              </w:rPr>
              <w:t>8%</w:t>
            </w:r>
          </w:p>
          <w:p w14:paraId="723BD287" w14:textId="4F51E013" w:rsidR="0003475F" w:rsidRDefault="0003475F" w:rsidP="0003475F">
            <w:pPr>
              <w:pStyle w:val="ListParagraph"/>
              <w:numPr>
                <w:ilvl w:val="0"/>
                <w:numId w:val="10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DA PA attendance is 10.5% (6 pupils) this below national at 8.2%.  Of these 6 pupils, 2 cause concern, the other absenteeism is explained.</w:t>
            </w:r>
          </w:p>
          <w:p w14:paraId="130E25DA" w14:textId="77777777" w:rsidR="00272D24" w:rsidRPr="00272D24" w:rsidRDefault="00272D24" w:rsidP="00272D24">
            <w:p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</w:p>
          <w:p w14:paraId="2B4BB2C6" w14:textId="757846E0" w:rsidR="00272D24" w:rsidRDefault="00272D24" w:rsidP="00272D24">
            <w:p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b/>
                <w:color w:val="auto"/>
                <w:sz w:val="22"/>
                <w:szCs w:val="22"/>
              </w:rPr>
            </w:pPr>
            <w:r w:rsidRPr="00272D24">
              <w:rPr>
                <w:rFonts w:cs="Arial"/>
                <w:b/>
                <w:color w:val="auto"/>
                <w:sz w:val="22"/>
                <w:szCs w:val="22"/>
              </w:rPr>
              <w:t>June 2022</w:t>
            </w:r>
          </w:p>
          <w:p w14:paraId="22440905" w14:textId="71C19B4A" w:rsidR="0076503D" w:rsidRPr="00D108DB" w:rsidRDefault="0076503D" w:rsidP="0076503D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t>PP attendance currently stands at 93.6% this is currently in-line with the whole school attendance.</w:t>
            </w:r>
          </w:p>
          <w:p w14:paraId="2B6F4A37" w14:textId="2F705520" w:rsidR="00D108DB" w:rsidRPr="00D108DB" w:rsidRDefault="00D108DB" w:rsidP="0076503D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t>14% of PP are PA this is the equivalent of 9/63 children. This has improved since Sept from 17% PA.</w:t>
            </w:r>
          </w:p>
          <w:p w14:paraId="037E7AA1" w14:textId="6F8CFDAB" w:rsidR="00D108DB" w:rsidRPr="00D108DB" w:rsidRDefault="00D108DB" w:rsidP="0076503D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t xml:space="preserve">School pays for 3 PP </w:t>
            </w:r>
            <w:proofErr w:type="spellStart"/>
            <w:r>
              <w:t>chn</w:t>
            </w:r>
            <w:proofErr w:type="spellEnd"/>
            <w:r>
              <w:t xml:space="preserve"> to attend breakfast club.</w:t>
            </w:r>
          </w:p>
          <w:p w14:paraId="6ED7B05C" w14:textId="1C7A7973" w:rsidR="00272D24" w:rsidRPr="001245C5" w:rsidRDefault="00D108DB" w:rsidP="00272D24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t>Recently 2 PA pp pupils maintained 5 weeks attendance without any absence, they received as a reward for this consistent attendance.</w:t>
            </w:r>
          </w:p>
        </w:tc>
      </w:tr>
      <w:tr w:rsidR="008C0301" w14:paraId="06A78D57" w14:textId="77777777" w:rsidTr="00381E1B">
        <w:trPr>
          <w:trHeight w:val="661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FCBD" w14:textId="77777777" w:rsidR="008C0301" w:rsidRPr="00180997" w:rsidRDefault="008C0301" w:rsidP="00045088">
            <w:pPr>
              <w:pStyle w:val="TableRow"/>
              <w:tabs>
                <w:tab w:val="left" w:pos="2925"/>
              </w:tabs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>To ensure all disadvantaged pupils have access to a full and wide ranging curriculum offer.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87DE" w14:textId="316EFBEC" w:rsidR="008C0301" w:rsidRPr="00E06955" w:rsidRDefault="008C0301" w:rsidP="00045088">
            <w:pPr>
              <w:suppressAutoHyphens w:val="0"/>
              <w:autoSpaceDN/>
              <w:spacing w:before="60" w:after="60" w:line="240" w:lineRule="auto"/>
              <w:ind w:left="57" w:right="57"/>
              <w:rPr>
                <w:rFonts w:cs="Arial"/>
                <w:color w:val="auto"/>
                <w:sz w:val="22"/>
                <w:szCs w:val="22"/>
              </w:rPr>
            </w:pPr>
            <w:r w:rsidRPr="00E06955">
              <w:rPr>
                <w:rFonts w:cs="Arial"/>
                <w:color w:val="auto"/>
                <w:sz w:val="22"/>
                <w:szCs w:val="22"/>
              </w:rPr>
              <w:t>All DA pupils access wider curriculum learning opportunities such as clubs, forest school and visits.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2C0B" w14:textId="3BAF921B" w:rsidR="00E06955" w:rsidRPr="00E06955" w:rsidRDefault="00E06955" w:rsidP="00E06955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t>Jan 2022</w:t>
            </w:r>
          </w:p>
          <w:p w14:paraId="6A147482" w14:textId="2C8F277A" w:rsidR="00381E1B" w:rsidRPr="00E06955" w:rsidRDefault="00381E1B" w:rsidP="00381E1B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 w:rsidRPr="00E06955">
              <w:rPr>
                <w:rFonts w:cs="Arial"/>
                <w:color w:val="auto"/>
                <w:sz w:val="22"/>
                <w:szCs w:val="22"/>
              </w:rPr>
              <w:t>Homework engagement levels</w:t>
            </w:r>
            <w:r w:rsidR="00E06955" w:rsidRPr="00E06955">
              <w:rPr>
                <w:rFonts w:cs="Arial"/>
                <w:color w:val="auto"/>
                <w:sz w:val="22"/>
                <w:szCs w:val="22"/>
              </w:rPr>
              <w:t xml:space="preserve"> are generally good – as a sample Y1 Charming Cheetah’s DA pupils have so far completed and returned their project homework</w:t>
            </w:r>
          </w:p>
          <w:p w14:paraId="4A4AAE24" w14:textId="5B009943" w:rsidR="0015297C" w:rsidRPr="00E06955" w:rsidRDefault="0015297C" w:rsidP="00B2604F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 w:rsidRPr="00E06955">
              <w:rPr>
                <w:rFonts w:cs="Arial"/>
                <w:color w:val="auto"/>
                <w:sz w:val="22"/>
                <w:szCs w:val="22"/>
              </w:rPr>
              <w:t xml:space="preserve">Access to the after school club </w:t>
            </w:r>
            <w:r w:rsidR="004E6EBA" w:rsidRPr="00E06955">
              <w:rPr>
                <w:rFonts w:cs="Arial"/>
                <w:color w:val="auto"/>
                <w:sz w:val="22"/>
                <w:szCs w:val="22"/>
              </w:rPr>
              <w:t xml:space="preserve">is </w:t>
            </w:r>
            <w:r w:rsidR="006B5DD5" w:rsidRPr="00E06955">
              <w:rPr>
                <w:rFonts w:cs="Arial"/>
                <w:color w:val="auto"/>
                <w:sz w:val="22"/>
                <w:szCs w:val="22"/>
              </w:rPr>
              <w:t>paid</w:t>
            </w:r>
            <w:r w:rsidRPr="00E06955">
              <w:rPr>
                <w:rFonts w:cs="Arial"/>
                <w:color w:val="auto"/>
                <w:sz w:val="22"/>
                <w:szCs w:val="22"/>
              </w:rPr>
              <w:t xml:space="preserve"> for 2 DA pupils</w:t>
            </w:r>
          </w:p>
          <w:p w14:paraId="36E7ADDA" w14:textId="536BA08B" w:rsidR="00381E1B" w:rsidRPr="00E06955" w:rsidRDefault="00381E1B" w:rsidP="00381E1B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 w:rsidRPr="00E06955">
              <w:rPr>
                <w:rFonts w:cs="Arial"/>
                <w:color w:val="auto"/>
                <w:sz w:val="22"/>
                <w:szCs w:val="22"/>
              </w:rPr>
              <w:t>Reading engagement levels</w:t>
            </w:r>
            <w:r w:rsidR="006B5DD5" w:rsidRPr="00E06955">
              <w:rPr>
                <w:rFonts w:cs="Arial"/>
                <w:color w:val="auto"/>
                <w:sz w:val="22"/>
                <w:szCs w:val="22"/>
              </w:rPr>
              <w:t xml:space="preserve"> are mixed – a sample from Y4 – indicates that 7/12 DA pupils read regularly.</w:t>
            </w:r>
          </w:p>
          <w:p w14:paraId="7692B3FE" w14:textId="4D8964E2" w:rsidR="008C0301" w:rsidRDefault="009458A9" w:rsidP="00381E1B">
            <w:pPr>
              <w:pStyle w:val="ListParagraph"/>
              <w:numPr>
                <w:ilvl w:val="0"/>
                <w:numId w:val="9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 w:rsidRPr="00E06955">
              <w:rPr>
                <w:rFonts w:cs="Arial"/>
                <w:color w:val="auto"/>
                <w:sz w:val="22"/>
                <w:szCs w:val="22"/>
              </w:rPr>
              <w:t xml:space="preserve">Y4 engagement with </w:t>
            </w:r>
            <w:proofErr w:type="spellStart"/>
            <w:r w:rsidRPr="00E06955">
              <w:rPr>
                <w:rFonts w:cs="Arial"/>
                <w:color w:val="auto"/>
                <w:sz w:val="22"/>
                <w:szCs w:val="22"/>
              </w:rPr>
              <w:t>Standon</w:t>
            </w:r>
            <w:proofErr w:type="spellEnd"/>
            <w:r w:rsidRPr="00E06955">
              <w:rPr>
                <w:rFonts w:cs="Arial"/>
                <w:color w:val="auto"/>
                <w:sz w:val="22"/>
                <w:szCs w:val="22"/>
              </w:rPr>
              <w:t xml:space="preserve"> Bowers</w:t>
            </w:r>
            <w:r w:rsidR="004E6EBA" w:rsidRPr="00E06955">
              <w:rPr>
                <w:rFonts w:cs="Arial"/>
                <w:color w:val="auto"/>
                <w:sz w:val="22"/>
                <w:szCs w:val="22"/>
              </w:rPr>
              <w:t xml:space="preserve"> – 11/12 pupils are attending.  Costs have been supported for 2 families.</w:t>
            </w:r>
          </w:p>
          <w:p w14:paraId="2AF00CFE" w14:textId="77777777" w:rsidR="00272D24" w:rsidRDefault="00272D24" w:rsidP="00272D24">
            <w:pPr>
              <w:pStyle w:val="ListParagraph"/>
              <w:numPr>
                <w:ilvl w:val="0"/>
                <w:numId w:val="0"/>
              </w:numPr>
              <w:suppressAutoHyphens w:val="0"/>
              <w:autoSpaceDN/>
              <w:spacing w:before="60" w:after="60" w:line="240" w:lineRule="auto"/>
              <w:ind w:left="777" w:right="57"/>
              <w:rPr>
                <w:rFonts w:cs="Arial"/>
                <w:color w:val="auto"/>
                <w:sz w:val="22"/>
                <w:szCs w:val="22"/>
              </w:rPr>
            </w:pPr>
          </w:p>
          <w:p w14:paraId="000B535A" w14:textId="77777777" w:rsidR="00272D24" w:rsidRPr="00272D24" w:rsidRDefault="00272D24" w:rsidP="00272D24">
            <w:p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b/>
                <w:color w:val="auto"/>
                <w:sz w:val="22"/>
                <w:szCs w:val="22"/>
              </w:rPr>
            </w:pPr>
            <w:r w:rsidRPr="00272D24">
              <w:rPr>
                <w:rFonts w:cs="Arial"/>
                <w:b/>
                <w:color w:val="auto"/>
                <w:sz w:val="22"/>
                <w:szCs w:val="22"/>
              </w:rPr>
              <w:t>June 2022</w:t>
            </w:r>
          </w:p>
          <w:p w14:paraId="1DFE7334" w14:textId="77777777" w:rsidR="00272D24" w:rsidRPr="00C66EBB" w:rsidRDefault="00272D24" w:rsidP="00272D24">
            <w:pPr>
              <w:pStyle w:val="ListParagraph"/>
              <w:numPr>
                <w:ilvl w:val="0"/>
                <w:numId w:val="16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 w:rsidRPr="00C66EBB">
              <w:rPr>
                <w:rFonts w:cs="Arial"/>
                <w:color w:val="auto"/>
                <w:sz w:val="22"/>
                <w:szCs w:val="22"/>
              </w:rPr>
              <w:t>9 DA pupil are participating in extended school clubs.</w:t>
            </w:r>
          </w:p>
          <w:p w14:paraId="62220360" w14:textId="77777777" w:rsidR="00272D24" w:rsidRDefault="00272D24" w:rsidP="00272D24">
            <w:pPr>
              <w:pStyle w:val="ListParagraph"/>
              <w:numPr>
                <w:ilvl w:val="0"/>
                <w:numId w:val="16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 w:rsidRPr="00272D24">
              <w:rPr>
                <w:rFonts w:cs="Arial"/>
                <w:color w:val="auto"/>
                <w:sz w:val="22"/>
                <w:szCs w:val="22"/>
              </w:rPr>
              <w:t>All DA pupils have attended an education trip, some of these have been subsidised.</w:t>
            </w:r>
          </w:p>
          <w:p w14:paraId="17CF4C1C" w14:textId="213B27F3" w:rsidR="003840CA" w:rsidRPr="003840CA" w:rsidRDefault="003840CA" w:rsidP="0076503D">
            <w:pPr>
              <w:pStyle w:val="ListParagraph"/>
              <w:numPr>
                <w:ilvl w:val="0"/>
                <w:numId w:val="16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Levels of engagement with homework remain </w:t>
            </w:r>
            <w:r w:rsidR="0076503D">
              <w:rPr>
                <w:rFonts w:cs="Arial"/>
                <w:color w:val="auto"/>
                <w:sz w:val="22"/>
                <w:szCs w:val="22"/>
              </w:rPr>
              <w:t>good, parental feedback from the summer survey was positive around homework.</w:t>
            </w:r>
          </w:p>
        </w:tc>
      </w:tr>
      <w:tr w:rsidR="008C0301" w14:paraId="16022ECA" w14:textId="77777777" w:rsidTr="00381E1B">
        <w:trPr>
          <w:trHeight w:val="872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FACD" w14:textId="77777777" w:rsidR="008C0301" w:rsidRPr="00180997" w:rsidRDefault="008C0301" w:rsidP="00045088">
            <w:pPr>
              <w:pStyle w:val="TableRow"/>
              <w:tabs>
                <w:tab w:val="left" w:pos="2925"/>
              </w:tabs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>To provide parents of disadvantage children relevant support that they need.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6D27" w14:textId="77777777" w:rsidR="008C0301" w:rsidRPr="00180997" w:rsidRDefault="008C0301" w:rsidP="00045088">
            <w:pPr>
              <w:pStyle w:val="TableRowCentered"/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>All PP parents increase engagement with activities including</w:t>
            </w:r>
            <w:proofErr w:type="gramStart"/>
            <w:r w:rsidRPr="00180997">
              <w:rPr>
                <w:sz w:val="22"/>
                <w:szCs w:val="22"/>
              </w:rPr>
              <w:t>:-</w:t>
            </w:r>
            <w:proofErr w:type="gramEnd"/>
            <w:r w:rsidRPr="00180997">
              <w:rPr>
                <w:sz w:val="22"/>
                <w:szCs w:val="22"/>
              </w:rPr>
              <w:t xml:space="preserve"> parental engagement activities, workshops, parents evenings </w:t>
            </w:r>
            <w:r w:rsidRPr="00180997">
              <w:rPr>
                <w:sz w:val="22"/>
                <w:szCs w:val="22"/>
              </w:rPr>
              <w:lastRenderedPageBreak/>
              <w:t>and engage with outside agency support, if offered and when relevant.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9164" w14:textId="530B697D" w:rsidR="00E06955" w:rsidRPr="00E06955" w:rsidRDefault="00E06955" w:rsidP="00E06955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80997">
              <w:rPr>
                <w:b/>
                <w:sz w:val="22"/>
                <w:szCs w:val="22"/>
              </w:rPr>
              <w:lastRenderedPageBreak/>
              <w:t>Jan 2022</w:t>
            </w:r>
          </w:p>
          <w:p w14:paraId="6EE3108C" w14:textId="5984E874" w:rsidR="004E6EBA" w:rsidRDefault="004E6EBA" w:rsidP="004E6EBA">
            <w:pPr>
              <w:pStyle w:val="ListParagraph"/>
              <w:numPr>
                <w:ilvl w:val="0"/>
                <w:numId w:val="11"/>
              </w:numPr>
              <w:suppressAutoHyphens w:val="0"/>
              <w:autoSpaceDN/>
              <w:spacing w:before="60" w:after="60" w:line="240" w:lineRule="auto"/>
              <w:ind w:right="57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Trailblazers currently supporting 4 DA </w:t>
            </w:r>
            <w:r w:rsidR="00E06955">
              <w:rPr>
                <w:rFonts w:cs="Arial"/>
                <w:color w:val="auto"/>
                <w:sz w:val="22"/>
                <w:szCs w:val="22"/>
              </w:rPr>
              <w:t>pupils (2 also include parental support)</w:t>
            </w:r>
          </w:p>
          <w:p w14:paraId="7447AAC8" w14:textId="77777777" w:rsidR="008C0301" w:rsidRDefault="004E6EBA" w:rsidP="004E6EBA">
            <w:pPr>
              <w:pStyle w:val="TableRowCentered"/>
              <w:numPr>
                <w:ilvl w:val="0"/>
                <w:numId w:val="11"/>
              </w:numPr>
              <w:jc w:val="left"/>
              <w:rPr>
                <w:sz w:val="22"/>
                <w:szCs w:val="22"/>
              </w:rPr>
            </w:pPr>
            <w:r w:rsidRPr="001809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majority of parents have engaged with parents evening, particularly with the option of phone calls.</w:t>
            </w:r>
          </w:p>
          <w:p w14:paraId="7EB6C228" w14:textId="77777777" w:rsidR="001245C5" w:rsidRPr="001245C5" w:rsidRDefault="001245C5" w:rsidP="001245C5">
            <w:pPr>
              <w:pStyle w:val="TableRowCentered"/>
              <w:jc w:val="left"/>
              <w:rPr>
                <w:b/>
                <w:sz w:val="22"/>
                <w:szCs w:val="22"/>
              </w:rPr>
            </w:pPr>
            <w:r w:rsidRPr="001245C5">
              <w:rPr>
                <w:b/>
                <w:sz w:val="22"/>
                <w:szCs w:val="22"/>
              </w:rPr>
              <w:lastRenderedPageBreak/>
              <w:t>June 2022</w:t>
            </w:r>
          </w:p>
          <w:p w14:paraId="7F98DDC5" w14:textId="77777777" w:rsidR="001245C5" w:rsidRDefault="001245C5" w:rsidP="001245C5">
            <w:pPr>
              <w:pStyle w:val="TableRowCentered"/>
              <w:numPr>
                <w:ilvl w:val="0"/>
                <w:numId w:val="1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he Little </w:t>
            </w:r>
            <w:proofErr w:type="spellStart"/>
            <w:r>
              <w:rPr>
                <w:sz w:val="22"/>
                <w:szCs w:val="22"/>
              </w:rPr>
              <w:t>Wandle</w:t>
            </w:r>
            <w:proofErr w:type="spellEnd"/>
            <w:r>
              <w:rPr>
                <w:sz w:val="22"/>
                <w:szCs w:val="22"/>
              </w:rPr>
              <w:t xml:space="preserve"> and Y1 phonic parent workshop was well attended</w:t>
            </w:r>
          </w:p>
          <w:p w14:paraId="7B0F5378" w14:textId="56B0298B" w:rsidR="001245C5" w:rsidRPr="00180997" w:rsidRDefault="001245C5" w:rsidP="001245C5">
            <w:pPr>
              <w:pStyle w:val="TableRowCentered"/>
              <w:jc w:val="left"/>
              <w:rPr>
                <w:sz w:val="22"/>
                <w:szCs w:val="22"/>
              </w:rPr>
            </w:pPr>
          </w:p>
        </w:tc>
      </w:tr>
    </w:tbl>
    <w:p w14:paraId="6CC9A929" w14:textId="77777777" w:rsidR="008C0301" w:rsidRDefault="008C0301" w:rsidP="008C0301">
      <w:pPr>
        <w:pStyle w:val="Heading2"/>
      </w:pPr>
    </w:p>
    <w:p w14:paraId="0F6B896D" w14:textId="77777777" w:rsidR="008C0301" w:rsidRDefault="008C0301"/>
    <w:sectPr w:rsidR="008C0301" w:rsidSect="000B7265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New Roman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DBB"/>
    <w:multiLevelType w:val="hybridMultilevel"/>
    <w:tmpl w:val="86803DE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B16079E"/>
    <w:multiLevelType w:val="hybridMultilevel"/>
    <w:tmpl w:val="D78C9F7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3C57E54"/>
    <w:multiLevelType w:val="hybridMultilevel"/>
    <w:tmpl w:val="65C6BF8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256308D0"/>
    <w:multiLevelType w:val="hybridMultilevel"/>
    <w:tmpl w:val="72F0D11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2984162"/>
    <w:multiLevelType w:val="hybridMultilevel"/>
    <w:tmpl w:val="F79A4FB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D802757"/>
    <w:multiLevelType w:val="hybridMultilevel"/>
    <w:tmpl w:val="1B029A2A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3F362C45"/>
    <w:multiLevelType w:val="hybridMultilevel"/>
    <w:tmpl w:val="3916907A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45FE58A2"/>
    <w:multiLevelType w:val="hybridMultilevel"/>
    <w:tmpl w:val="F31A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14827"/>
    <w:multiLevelType w:val="hybridMultilevel"/>
    <w:tmpl w:val="160ACD1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5002C21"/>
    <w:multiLevelType w:val="hybridMultilevel"/>
    <w:tmpl w:val="304A00B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A5406D6"/>
    <w:multiLevelType w:val="hybridMultilevel"/>
    <w:tmpl w:val="C540E480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51D6204"/>
    <w:multiLevelType w:val="hybridMultilevel"/>
    <w:tmpl w:val="027491C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A78498B"/>
    <w:multiLevelType w:val="hybridMultilevel"/>
    <w:tmpl w:val="2FEE244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A936762"/>
    <w:multiLevelType w:val="hybridMultilevel"/>
    <w:tmpl w:val="F5463F0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D3426CA"/>
    <w:multiLevelType w:val="hybridMultilevel"/>
    <w:tmpl w:val="512ED808"/>
    <w:lvl w:ilvl="0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5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63E77C5"/>
    <w:multiLevelType w:val="hybridMultilevel"/>
    <w:tmpl w:val="7BCE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B1A83"/>
    <w:multiLevelType w:val="hybridMultilevel"/>
    <w:tmpl w:val="79D090D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1"/>
  </w:num>
  <w:num w:numId="15">
    <w:abstractNumId w:val="4"/>
  </w:num>
  <w:num w:numId="16">
    <w:abstractNumId w:val="16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1"/>
    <w:rsid w:val="0003475F"/>
    <w:rsid w:val="000B7265"/>
    <w:rsid w:val="000C0F6E"/>
    <w:rsid w:val="001245C5"/>
    <w:rsid w:val="0013439A"/>
    <w:rsid w:val="0015297C"/>
    <w:rsid w:val="00180997"/>
    <w:rsid w:val="00272D24"/>
    <w:rsid w:val="002F658B"/>
    <w:rsid w:val="0030456A"/>
    <w:rsid w:val="00363BD6"/>
    <w:rsid w:val="00381E1B"/>
    <w:rsid w:val="003840CA"/>
    <w:rsid w:val="004E6EBA"/>
    <w:rsid w:val="005326EE"/>
    <w:rsid w:val="006B5DD5"/>
    <w:rsid w:val="0072551B"/>
    <w:rsid w:val="007335E4"/>
    <w:rsid w:val="0076503D"/>
    <w:rsid w:val="00771BFB"/>
    <w:rsid w:val="00824001"/>
    <w:rsid w:val="008A2FD5"/>
    <w:rsid w:val="008C0301"/>
    <w:rsid w:val="009458A9"/>
    <w:rsid w:val="00A67AFC"/>
    <w:rsid w:val="00AF42FF"/>
    <w:rsid w:val="00B2604F"/>
    <w:rsid w:val="00B375A1"/>
    <w:rsid w:val="00B60E7B"/>
    <w:rsid w:val="00B80634"/>
    <w:rsid w:val="00C66EBB"/>
    <w:rsid w:val="00D108DB"/>
    <w:rsid w:val="00D45712"/>
    <w:rsid w:val="00DF3C92"/>
    <w:rsid w:val="00E06955"/>
    <w:rsid w:val="00E77A7D"/>
    <w:rsid w:val="00E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011BE"/>
  <w15:chartTrackingRefBased/>
  <w15:docId w15:val="{819E7932-465B-40F1-8BF1-E517D058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01"/>
    <w:pPr>
      <w:suppressAutoHyphens/>
      <w:autoSpaceDN w:val="0"/>
      <w:spacing w:after="240" w:line="288" w:lineRule="auto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301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0301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8C0301"/>
    <w:pPr>
      <w:numPr>
        <w:numId w:val="1"/>
      </w:numPr>
      <w:contextualSpacing/>
    </w:pPr>
  </w:style>
  <w:style w:type="paragraph" w:customStyle="1" w:styleId="TableHeader">
    <w:name w:val="TableHeader"/>
    <w:rsid w:val="008C0301"/>
    <w:pPr>
      <w:suppressAutoHyphens/>
      <w:autoSpaceDN w:val="0"/>
      <w:spacing w:before="60" w:after="60" w:line="240" w:lineRule="auto"/>
      <w:ind w:left="57" w:right="57"/>
      <w:jc w:val="center"/>
    </w:pPr>
    <w:rPr>
      <w:rFonts w:ascii="Arial" w:eastAsia="Times New Roman" w:hAnsi="Arial" w:cs="Times New Roman"/>
      <w:b/>
      <w:color w:val="0D0D0D"/>
      <w:sz w:val="24"/>
      <w:szCs w:val="24"/>
      <w:lang w:eastAsia="en-GB"/>
    </w:rPr>
  </w:style>
  <w:style w:type="paragraph" w:customStyle="1" w:styleId="TableRow">
    <w:name w:val="TableRow"/>
    <w:rsid w:val="008C0301"/>
    <w:pPr>
      <w:suppressAutoHyphens/>
      <w:autoSpaceDN w:val="0"/>
      <w:spacing w:before="60" w:after="60" w:line="240" w:lineRule="auto"/>
      <w:ind w:left="57" w:right="57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customStyle="1" w:styleId="TableRowCentered">
    <w:name w:val="TableRowCentered"/>
    <w:basedOn w:val="TableRow"/>
    <w:rsid w:val="008C0301"/>
    <w:pPr>
      <w:jc w:val="center"/>
    </w:pPr>
    <w:rPr>
      <w:szCs w:val="20"/>
    </w:rPr>
  </w:style>
  <w:style w:type="numbering" w:customStyle="1" w:styleId="LFO25">
    <w:name w:val="LFO25"/>
    <w:basedOn w:val="NoList"/>
    <w:rsid w:val="008C0301"/>
    <w:pPr>
      <w:numPr>
        <w:numId w:val="1"/>
      </w:numPr>
    </w:pPr>
  </w:style>
  <w:style w:type="table" w:styleId="TableGrid">
    <w:name w:val="Table Grid"/>
    <w:basedOn w:val="TableNormal"/>
    <w:uiPriority w:val="39"/>
    <w:rsid w:val="00EE36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1DA94F22AE945A2664417EDF80148" ma:contentTypeVersion="13" ma:contentTypeDescription="Create a new document." ma:contentTypeScope="" ma:versionID="8e7920fc1f158871fb18033c27353279">
  <xsd:schema xmlns:xsd="http://www.w3.org/2001/XMLSchema" xmlns:xs="http://www.w3.org/2001/XMLSchema" xmlns:p="http://schemas.microsoft.com/office/2006/metadata/properties" xmlns:ns3="971fab8e-36b4-4f40-a08b-9d597909162d" xmlns:ns4="b6fa5061-faba-456b-ae5e-819d131a985e" targetNamespace="http://schemas.microsoft.com/office/2006/metadata/properties" ma:root="true" ma:fieldsID="033ffabe783158bbde20ae36d7288c34" ns3:_="" ns4:_="">
    <xsd:import namespace="971fab8e-36b4-4f40-a08b-9d597909162d"/>
    <xsd:import namespace="b6fa5061-faba-456b-ae5e-819d131a98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fab8e-36b4-4f40-a08b-9d5979091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5061-faba-456b-ae5e-819d131a9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CE6B3C-3C52-46EF-AC1B-2C271DDE2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1fab8e-36b4-4f40-a08b-9d597909162d"/>
    <ds:schemaRef ds:uri="b6fa5061-faba-456b-ae5e-819d131a9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E90B5-D58D-4CB4-B667-BB6AE810E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D72F3-EC84-4D8F-9A28-0A0A9ACED63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971fab8e-36b4-4f40-a08b-9d597909162d"/>
    <ds:schemaRef ds:uri="http://schemas.openxmlformats.org/package/2006/metadata/core-properties"/>
    <ds:schemaRef ds:uri="b6fa5061-faba-456b-ae5e-819d131a985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Butler</dc:creator>
  <cp:keywords/>
  <dc:description/>
  <cp:lastModifiedBy>Rebecca Butler</cp:lastModifiedBy>
  <cp:revision>2</cp:revision>
  <dcterms:created xsi:type="dcterms:W3CDTF">2022-07-03T14:56:00Z</dcterms:created>
  <dcterms:modified xsi:type="dcterms:W3CDTF">2022-07-03T14:56:00Z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0x0101000511DA94F22AE945A2664417EDF80148</vt:lpwstr>
  </property>
</Properties>
</file>