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2254CAC1" w:rsidR="00C96E60" w:rsidRPr="00455F11" w:rsidRDefault="00FD214F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KS2 (</w:t>
      </w:r>
      <w:r w:rsidR="0042453D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Cycle </w:t>
      </w:r>
      <w:r w:rsidR="00545BDE">
        <w:rPr>
          <w:rFonts w:ascii="Comic Sans MS" w:hAnsi="Comic Sans MS" w:cs="Arial"/>
          <w:b/>
          <w:color w:val="3366FF"/>
          <w:sz w:val="32"/>
          <w:szCs w:val="32"/>
          <w:u w:val="single"/>
        </w:rPr>
        <w:t>B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)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PSHRE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678"/>
        <w:gridCol w:w="4761"/>
      </w:tblGrid>
      <w:tr w:rsidR="0074585E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678" w:type="dxa"/>
            <w:shd w:val="clear" w:color="auto" w:fill="FFFF99"/>
          </w:tcPr>
          <w:p w14:paraId="4D18D4A3" w14:textId="792403C9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ECAC5F4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545BDE" w:rsidRPr="00455F11" w14:paraId="4D18D4CD" w14:textId="77777777" w:rsidTr="00A57C3F">
        <w:tc>
          <w:tcPr>
            <w:tcW w:w="1838" w:type="dxa"/>
            <w:tcBorders>
              <w:top w:val="single" w:sz="4" w:space="0" w:color="auto"/>
            </w:tcBorders>
          </w:tcPr>
          <w:p w14:paraId="16E1F7E7" w14:textId="0BAF4CF2" w:rsidR="00545BDE" w:rsidRPr="00455F11" w:rsidRDefault="00545BDE" w:rsidP="00545BD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Topic</w:t>
            </w:r>
          </w:p>
        </w:tc>
        <w:tc>
          <w:tcPr>
            <w:tcW w:w="4111" w:type="dxa"/>
          </w:tcPr>
          <w:p w14:paraId="53581505" w14:textId="77777777" w:rsidR="00545BDE" w:rsidRPr="00AF4227" w:rsidRDefault="00545BDE" w:rsidP="00545BD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Food Glorious Food</w:t>
            </w:r>
          </w:p>
          <w:p w14:paraId="4D18D4B3" w14:textId="5C99E48E" w:rsidR="00545BDE" w:rsidRPr="00455F11" w:rsidRDefault="00545BDE" w:rsidP="00545BDE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52B5208" w14:textId="77777777" w:rsidR="00545BDE" w:rsidRPr="00AF4227" w:rsidRDefault="00545BDE" w:rsidP="00545BD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Toga Tastic</w:t>
            </w:r>
          </w:p>
          <w:p w14:paraId="4D18D4C0" w14:textId="77777777" w:rsidR="00545BDE" w:rsidRPr="00455F11" w:rsidRDefault="00545BDE" w:rsidP="00545BDE">
            <w:pPr>
              <w:jc w:val="left"/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19F6E85B" w14:textId="77777777" w:rsidR="00545BDE" w:rsidRPr="00AF4227" w:rsidRDefault="00545BDE" w:rsidP="00545BD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Tropical Jungle Journey</w:t>
            </w:r>
          </w:p>
          <w:p w14:paraId="4D18D4CC" w14:textId="1E081F74" w:rsidR="00545BDE" w:rsidRPr="00455F11" w:rsidRDefault="00545BDE" w:rsidP="00545BDE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545BDE" w:rsidRPr="00455F11" w14:paraId="335BF397" w14:textId="77777777" w:rsidTr="0074585E">
        <w:tc>
          <w:tcPr>
            <w:tcW w:w="1838" w:type="dxa"/>
          </w:tcPr>
          <w:p w14:paraId="2F6E0A9B" w14:textId="45120864" w:rsidR="00545BDE" w:rsidRPr="00455F11" w:rsidRDefault="00545BDE" w:rsidP="00545BD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Significant Person</w:t>
            </w:r>
          </w:p>
        </w:tc>
        <w:tc>
          <w:tcPr>
            <w:tcW w:w="4111" w:type="dxa"/>
          </w:tcPr>
          <w:p w14:paraId="5640EB99" w14:textId="303CB0D1" w:rsidR="00545BDE" w:rsidRPr="00455F11" w:rsidRDefault="00545BDE" w:rsidP="00545BDE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Queen Victoria</w:t>
            </w:r>
          </w:p>
        </w:tc>
        <w:tc>
          <w:tcPr>
            <w:tcW w:w="4678" w:type="dxa"/>
          </w:tcPr>
          <w:p w14:paraId="23581FE3" w14:textId="77777777" w:rsidR="00545BDE" w:rsidRPr="00F776A7" w:rsidRDefault="00545BDE" w:rsidP="00545B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Julia Caes</w:t>
            </w:r>
            <w:r w:rsidRPr="00F776A7">
              <w:rPr>
                <w:rFonts w:ascii="Comic Sans MS" w:hAnsi="Comic Sans MS"/>
                <w:sz w:val="20"/>
                <w:szCs w:val="20"/>
              </w:rPr>
              <w:t>ar</w:t>
            </w:r>
          </w:p>
          <w:p w14:paraId="139B3F27" w14:textId="77777777" w:rsidR="00545BDE" w:rsidRPr="00455F11" w:rsidRDefault="00545BDE" w:rsidP="00545BDE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06CC18C4" w14:textId="77777777" w:rsidR="00545BDE" w:rsidRPr="00F776A7" w:rsidRDefault="00545BDE" w:rsidP="00545BDE">
            <w:pPr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Francisco Pizarro</w:t>
            </w:r>
          </w:p>
          <w:p w14:paraId="45D2643B" w14:textId="77777777" w:rsidR="00545BDE" w:rsidRPr="00455F11" w:rsidRDefault="00545BDE" w:rsidP="00545BDE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74585E" w:rsidRPr="00455F11" w14:paraId="1B100EAA" w14:textId="77777777" w:rsidTr="0074585E">
        <w:tc>
          <w:tcPr>
            <w:tcW w:w="1838" w:type="dxa"/>
          </w:tcPr>
          <w:p w14:paraId="33E53B1E" w14:textId="7F7F1FB9" w:rsidR="0074585E" w:rsidRPr="00455F11" w:rsidRDefault="0074585E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4111" w:type="dxa"/>
          </w:tcPr>
          <w:p w14:paraId="025547A2" w14:textId="049B6845" w:rsidR="0074585E" w:rsidRPr="00455F11" w:rsidRDefault="00035D6F" w:rsidP="0074585E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bullying, friendships, online, positive, care, respect, structure, blended, same sex, step-parents, foster, security, stability, characteristics, healthy, difficulty, unhappy, unsafe, advice, career, aspiration, teamwork, communication, negotiation, confidential, confidence, uncomfortable, differences, similarities.   </w:t>
            </w:r>
          </w:p>
        </w:tc>
        <w:tc>
          <w:tcPr>
            <w:tcW w:w="4678" w:type="dxa"/>
          </w:tcPr>
          <w:p w14:paraId="1CA9CC4C" w14:textId="473DEC81" w:rsidR="0074585E" w:rsidRPr="00455F11" w:rsidRDefault="002F1F15" w:rsidP="00CE16F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relationship, responsibilities, recognise, rights, internet, social media, </w:t>
            </w:r>
            <w:r w:rsidR="007672CA">
              <w:rPr>
                <w:rFonts w:ascii="Comic Sans MS" w:hAnsi="Comic Sans MS"/>
                <w:sz w:val="20"/>
              </w:rPr>
              <w:t xml:space="preserve">positive, negative, reliability, online, ranked, selected, targeted, devices, choices, devices, risks. </w:t>
            </w:r>
          </w:p>
        </w:tc>
        <w:tc>
          <w:tcPr>
            <w:tcW w:w="4761" w:type="dxa"/>
          </w:tcPr>
          <w:p w14:paraId="390F4D2A" w14:textId="774025E6" w:rsidR="0074585E" w:rsidRPr="00455F11" w:rsidRDefault="00E12512" w:rsidP="00CE16F2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affect, expressing, vocabulary, individuality, personal qualities, strengths, achievements, interests, contribute, </w:t>
            </w:r>
            <w:r w:rsidR="00831B22">
              <w:rPr>
                <w:rFonts w:ascii="Comic Sans MS" w:hAnsi="Comic Sans MS" w:cs="Arial"/>
                <w:sz w:val="20"/>
                <w:szCs w:val="18"/>
              </w:rPr>
              <w:t xml:space="preserve">self-worth, set-backs, failures, risk, injury, oral hygiene, genitalia, reproductive, puberty, reproduction, </w:t>
            </w:r>
          </w:p>
        </w:tc>
      </w:tr>
      <w:tr w:rsidR="009A5313" w:rsidRPr="00455F11" w14:paraId="0AD614B1" w14:textId="77777777" w:rsidTr="0074585E">
        <w:tc>
          <w:tcPr>
            <w:tcW w:w="1838" w:type="dxa"/>
          </w:tcPr>
          <w:p w14:paraId="5E53D25E" w14:textId="517703C9" w:rsidR="009A5313" w:rsidRPr="00455F11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4111" w:type="dxa"/>
          </w:tcPr>
          <w:p w14:paraId="6D24A8DE" w14:textId="17783397" w:rsidR="009A5313" w:rsidRPr="004C46E2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R1. to recognise that there are different types of relationships (e.g. friendships, family relationships, romantic relationships, online relationships)</w:t>
            </w:r>
          </w:p>
        </w:tc>
        <w:tc>
          <w:tcPr>
            <w:tcW w:w="4678" w:type="dxa"/>
          </w:tcPr>
          <w:p w14:paraId="128CD94A" w14:textId="77777777" w:rsidR="009A5313" w:rsidRPr="004F4588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L3. about the relationship between rights and responsibilities </w:t>
            </w:r>
          </w:p>
          <w:p w14:paraId="326F364C" w14:textId="410FB483" w:rsidR="009A5313" w:rsidRPr="009D3FFE" w:rsidRDefault="009A5313" w:rsidP="009A5313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4761" w:type="dxa"/>
          </w:tcPr>
          <w:p w14:paraId="6F82DFF1" w14:textId="4460D277" w:rsidR="009A5313" w:rsidRPr="00455F11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H18. about everyday things that affect feelings and the importance of expressing feelings </w:t>
            </w:r>
          </w:p>
        </w:tc>
      </w:tr>
      <w:tr w:rsidR="009A5313" w:rsidRPr="00455F11" w14:paraId="296B4074" w14:textId="77777777" w:rsidTr="0074585E">
        <w:tc>
          <w:tcPr>
            <w:tcW w:w="1838" w:type="dxa"/>
          </w:tcPr>
          <w:p w14:paraId="4D010324" w14:textId="0CE83C5F" w:rsidR="009A5313" w:rsidRPr="00455F11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3AE26D4C" w14:textId="6EBE6E6B" w:rsidR="009A5313" w:rsidRPr="004C46E2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R6. that a feature of positive family life is caring relationships; about the different ways in which people care for one another </w:t>
            </w:r>
          </w:p>
        </w:tc>
        <w:tc>
          <w:tcPr>
            <w:tcW w:w="4678" w:type="dxa"/>
          </w:tcPr>
          <w:p w14:paraId="715ABD80" w14:textId="77777777" w:rsidR="009A5313" w:rsidRPr="004F4588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L11. recognise ways in which the internet and social media can be used both positively and negatively </w:t>
            </w:r>
          </w:p>
          <w:p w14:paraId="1B87C1B2" w14:textId="4078B23E" w:rsidR="009A5313" w:rsidRPr="009D3FFE" w:rsidRDefault="009A5313" w:rsidP="009A5313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4761" w:type="dxa"/>
          </w:tcPr>
          <w:p w14:paraId="421E8F46" w14:textId="66ACC401" w:rsidR="009A5313" w:rsidRPr="00455F11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H19. a varied vocabulary to use when talking about feelings; about how to express feelings in different ways;</w:t>
            </w:r>
          </w:p>
        </w:tc>
      </w:tr>
      <w:tr w:rsidR="009A5313" w:rsidRPr="00455F11" w14:paraId="6B0200B3" w14:textId="77777777" w:rsidTr="0074585E">
        <w:tc>
          <w:tcPr>
            <w:tcW w:w="1838" w:type="dxa"/>
          </w:tcPr>
          <w:p w14:paraId="2223134B" w14:textId="4BD287B3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36A7DA1F" w14:textId="5D5973EE" w:rsidR="009A5313" w:rsidRPr="004C46E2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R7. to recognise and respect that there are different types of family structure (including single parents, same-sex parents, step-parents, blended families, foster parents); that families of all types can give family members love, security and stability </w:t>
            </w:r>
          </w:p>
        </w:tc>
        <w:tc>
          <w:tcPr>
            <w:tcW w:w="4678" w:type="dxa"/>
          </w:tcPr>
          <w:p w14:paraId="3CFB2B92" w14:textId="77777777" w:rsidR="009A5313" w:rsidRPr="004F4588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L12. how to assess the reliability of sources of information online; and how to make safe, reliable choices from search results</w:t>
            </w:r>
          </w:p>
          <w:p w14:paraId="6067A1BD" w14:textId="4124D48E" w:rsidR="009A5313" w:rsidRPr="009D3FFE" w:rsidRDefault="009A5313" w:rsidP="009A5313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4761" w:type="dxa"/>
          </w:tcPr>
          <w:p w14:paraId="02B4BEA2" w14:textId="30085C88" w:rsidR="009A5313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H27. to recognise their individuality and personal qualities </w:t>
            </w:r>
          </w:p>
        </w:tc>
      </w:tr>
      <w:tr w:rsidR="009A5313" w:rsidRPr="00455F11" w14:paraId="0017E808" w14:textId="77777777" w:rsidTr="0074585E">
        <w:tc>
          <w:tcPr>
            <w:tcW w:w="1838" w:type="dxa"/>
          </w:tcPr>
          <w:p w14:paraId="2724BD31" w14:textId="19FA3D24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477AC5A9" w14:textId="5141BCD8" w:rsidR="009A5313" w:rsidRPr="004C46E2" w:rsidRDefault="009A5313" w:rsidP="009A5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R8. to recognise other shared characteristics of healthy family life, including commitment, care, spending time together; being there for each other in times of difficulty </w:t>
            </w:r>
          </w:p>
        </w:tc>
        <w:tc>
          <w:tcPr>
            <w:tcW w:w="4678" w:type="dxa"/>
          </w:tcPr>
          <w:p w14:paraId="4BFDBB76" w14:textId="34955663" w:rsidR="009A5313" w:rsidRPr="007672CA" w:rsidRDefault="009A5313" w:rsidP="007672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A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L14. about how information on the internet is ranked, selected and targeted at specific individuals and groups; that connected devices can share information </w:t>
            </w:r>
          </w:p>
        </w:tc>
        <w:tc>
          <w:tcPr>
            <w:tcW w:w="4761" w:type="dxa"/>
          </w:tcPr>
          <w:p w14:paraId="600D7A41" w14:textId="3CB9C681" w:rsidR="009A5313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H28. to identify personal strengths, skills, achievements and interests and how these contribute to a sense of self-worth </w:t>
            </w:r>
          </w:p>
        </w:tc>
      </w:tr>
      <w:tr w:rsidR="009A5313" w:rsidRPr="00455F11" w14:paraId="42ED834B" w14:textId="77777777" w:rsidTr="0074585E">
        <w:tc>
          <w:tcPr>
            <w:tcW w:w="1838" w:type="dxa"/>
          </w:tcPr>
          <w:p w14:paraId="2F20678B" w14:textId="4F9A8D9A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0930F932" w14:textId="1648345A" w:rsidR="009A5313" w:rsidRPr="00455F11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R9. how to recognise if family relationships are making them feel unhappy or unsafe, and how to seek help or advice</w:t>
            </w:r>
          </w:p>
        </w:tc>
        <w:tc>
          <w:tcPr>
            <w:tcW w:w="4678" w:type="dxa"/>
          </w:tcPr>
          <w:p w14:paraId="5CB5DB60" w14:textId="77777777" w:rsidR="009A5313" w:rsidRPr="00C66ACA" w:rsidRDefault="009A5313" w:rsidP="009A53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ACA">
              <w:rPr>
                <w:rFonts w:asciiTheme="minorHAnsi" w:hAnsiTheme="minorHAnsi" w:cstheme="minorHAnsi"/>
                <w:b/>
                <w:sz w:val="20"/>
                <w:szCs w:val="20"/>
              </w:rPr>
              <w:t>L17. about the different ways to pay for things and the choices people have about this</w:t>
            </w:r>
          </w:p>
          <w:p w14:paraId="36D4A165" w14:textId="64E31531" w:rsidR="009A5313" w:rsidRPr="00C66ACA" w:rsidRDefault="009A5313" w:rsidP="009A5313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16407C4E" w14:textId="76024193" w:rsidR="009A5313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H29. about how to manage setbacks/perceived failures, including how to re-frame unhelpful thinking</w:t>
            </w:r>
          </w:p>
        </w:tc>
      </w:tr>
      <w:tr w:rsidR="00266F17" w:rsidRPr="00455F11" w14:paraId="63C302E7" w14:textId="77777777" w:rsidTr="0074585E">
        <w:tc>
          <w:tcPr>
            <w:tcW w:w="1838" w:type="dxa"/>
          </w:tcPr>
          <w:p w14:paraId="10D7297A" w14:textId="53412239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7A65A31E" w14:textId="77777777" w:rsidR="00266F17" w:rsidRPr="004F4588" w:rsidRDefault="00266F17" w:rsidP="00266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L26. that there is a broad range of different jobs/careers that people can have; that people often have more than one career/type of job during their life </w:t>
            </w:r>
          </w:p>
          <w:p w14:paraId="295EF9AD" w14:textId="2A437ED6" w:rsidR="00266F17" w:rsidRPr="0074641E" w:rsidRDefault="00266F17" w:rsidP="00266F17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7ADCA71" w14:textId="77777777" w:rsidR="00266F17" w:rsidRPr="00C66ACA" w:rsidRDefault="00266F17" w:rsidP="00266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ACA">
              <w:rPr>
                <w:rFonts w:asciiTheme="minorHAnsi" w:hAnsiTheme="minorHAnsi" w:cstheme="minorHAnsi"/>
                <w:b/>
                <w:sz w:val="20"/>
                <w:szCs w:val="20"/>
              </w:rPr>
              <w:t>L19. that people’s spending decisions can affect others and the environment (e.g. Fair trade, buying single-use plastics, or giving to charity)</w:t>
            </w:r>
          </w:p>
          <w:p w14:paraId="3B9D18D8" w14:textId="77777777" w:rsidR="00266F17" w:rsidRPr="00C66ACA" w:rsidRDefault="00266F17" w:rsidP="00266F17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14CEFCC0" w14:textId="40EABF41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H38. how to predict, assess and manage risk in different situations</w:t>
            </w:r>
          </w:p>
        </w:tc>
      </w:tr>
      <w:tr w:rsidR="00266F17" w:rsidRPr="00455F11" w14:paraId="0240C42D" w14:textId="77777777" w:rsidTr="0074585E">
        <w:tc>
          <w:tcPr>
            <w:tcW w:w="1838" w:type="dxa"/>
          </w:tcPr>
          <w:p w14:paraId="07A9707F" w14:textId="4F8A2EBB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282FABC3" w14:textId="77777777" w:rsidR="00266F17" w:rsidRPr="004F4588" w:rsidRDefault="00266F17" w:rsidP="00266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L27. about stereotypes in the workplace and that a person’s career aspirations should not be limited by them </w:t>
            </w:r>
          </w:p>
          <w:p w14:paraId="0A4D73EF" w14:textId="1626CF71" w:rsidR="00266F17" w:rsidRPr="009D3FFE" w:rsidRDefault="00266F17" w:rsidP="00266F17">
            <w:pPr>
              <w:rPr>
                <w:rFonts w:ascii="Comic Sans MS" w:hAnsi="Comic Sans MS" w:cs="Arial"/>
                <w:sz w:val="20"/>
                <w:szCs w:val="18"/>
                <w:highlight w:val="yellow"/>
              </w:rPr>
            </w:pPr>
          </w:p>
        </w:tc>
        <w:tc>
          <w:tcPr>
            <w:tcW w:w="4678" w:type="dxa"/>
          </w:tcPr>
          <w:p w14:paraId="713C1F59" w14:textId="77777777" w:rsidR="00266F17" w:rsidRPr="00C66ACA" w:rsidRDefault="00266F17" w:rsidP="00266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ACA">
              <w:rPr>
                <w:rFonts w:asciiTheme="minorHAnsi" w:hAnsiTheme="minorHAnsi" w:cstheme="minorHAnsi"/>
                <w:b/>
                <w:sz w:val="20"/>
                <w:szCs w:val="20"/>
              </w:rPr>
              <w:t>L20. to recognise that people make spending decisions based on priorities, needs and wants</w:t>
            </w:r>
          </w:p>
          <w:p w14:paraId="5865495A" w14:textId="77777777" w:rsidR="00266F17" w:rsidRPr="00C66ACA" w:rsidRDefault="00266F17" w:rsidP="00266F17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40BBDE02" w14:textId="16211988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H39. about hazards (including fire risks) that may cause harm, injury or risk in the home and what they can do reduce risks and keep safe</w:t>
            </w:r>
          </w:p>
        </w:tc>
      </w:tr>
      <w:tr w:rsidR="00266F17" w:rsidRPr="00455F11" w14:paraId="3D7D90D4" w14:textId="77777777" w:rsidTr="0074585E">
        <w:tc>
          <w:tcPr>
            <w:tcW w:w="1838" w:type="dxa"/>
          </w:tcPr>
          <w:p w14:paraId="3AE76123" w14:textId="4490C351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59864166" w14:textId="47DD270A" w:rsidR="00266F17" w:rsidRPr="009D3FFE" w:rsidRDefault="00266F17" w:rsidP="00266F17">
            <w:pPr>
              <w:rPr>
                <w:rFonts w:ascii="Comic Sans MS" w:hAnsi="Comic Sans MS" w:cs="Arial"/>
                <w:sz w:val="20"/>
                <w:szCs w:val="18"/>
                <w:highlight w:val="yellow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L30. about some of the skills that will help them in their future careers e.g. teamwork, communication and negotiation</w:t>
            </w:r>
          </w:p>
        </w:tc>
        <w:tc>
          <w:tcPr>
            <w:tcW w:w="4678" w:type="dxa"/>
          </w:tcPr>
          <w:p w14:paraId="2A8B926B" w14:textId="77777777" w:rsidR="00266F17" w:rsidRPr="00C66ACA" w:rsidRDefault="00266F17" w:rsidP="00266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A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L21. different ways to keep track of money </w:t>
            </w:r>
          </w:p>
          <w:p w14:paraId="0E87BD0D" w14:textId="77777777" w:rsidR="00266F17" w:rsidRPr="00C66ACA" w:rsidRDefault="00266F17" w:rsidP="00266F17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086C4AC8" w14:textId="0EDD2191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H41. strategies for keeping safe in the local environment or unfamiliar places (rail, water, road) and firework safety; safe use of digital devices when out and about</w:t>
            </w:r>
          </w:p>
        </w:tc>
      </w:tr>
      <w:tr w:rsidR="00266F17" w:rsidRPr="00455F11" w14:paraId="4A1CF36D" w14:textId="77777777" w:rsidTr="0074585E">
        <w:tc>
          <w:tcPr>
            <w:tcW w:w="1838" w:type="dxa"/>
          </w:tcPr>
          <w:p w14:paraId="354DA56D" w14:textId="77777777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7ED02887" w14:textId="23FB5541" w:rsidR="00266F17" w:rsidRPr="004E066C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E06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R27. about keeping something confidential or secret, when this should (e.g. a birthday surprise that others will find out about) or should not be agreed to, and when it is right to break a confidence or share a secret </w:t>
            </w:r>
          </w:p>
        </w:tc>
        <w:tc>
          <w:tcPr>
            <w:tcW w:w="4678" w:type="dxa"/>
          </w:tcPr>
          <w:p w14:paraId="477CDABA" w14:textId="77777777" w:rsidR="00266F17" w:rsidRPr="004E066C" w:rsidRDefault="00266F17" w:rsidP="00266F17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6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R23. about why someone may behave differently online, including pretending to be someone they are not; strategies for recognising risks, harmful content and contact; how to report concerns </w:t>
            </w:r>
          </w:p>
          <w:p w14:paraId="12AFAC65" w14:textId="77777777" w:rsidR="00266F17" w:rsidRPr="00C66ACA" w:rsidRDefault="00266F17" w:rsidP="00266F17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4C24BA81" w14:textId="77777777" w:rsidR="00266F17" w:rsidRPr="004F4588" w:rsidRDefault="00266F17" w:rsidP="00266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L25. to recognise positive things about themselves and their achievements; set goals to help achieve personal outcomes</w:t>
            </w:r>
          </w:p>
          <w:p w14:paraId="78756126" w14:textId="78095B5B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266F17" w:rsidRPr="00455F11" w14:paraId="2722F6C3" w14:textId="77777777" w:rsidTr="0074585E">
        <w:tc>
          <w:tcPr>
            <w:tcW w:w="1838" w:type="dxa"/>
          </w:tcPr>
          <w:p w14:paraId="71D7C17D" w14:textId="176CCFC5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7C026544" w14:textId="77777777" w:rsidR="00266F17" w:rsidRPr="004E066C" w:rsidRDefault="00266F17" w:rsidP="00266F17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6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R28. how to recognise pressure from others to do something unsafe or that makes them feel uncomfortable and strategies for managing this </w:t>
            </w:r>
          </w:p>
          <w:p w14:paraId="7D26D457" w14:textId="57488E91" w:rsidR="00266F17" w:rsidRPr="004E066C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55ACF83A" w14:textId="77777777" w:rsidR="00266F17" w:rsidRPr="00C66ACA" w:rsidRDefault="00266F17" w:rsidP="00266F17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67BBB531" w14:textId="7AC4899E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9840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H2. about the elements of a balanced, healthy lifestyle </w:t>
            </w:r>
          </w:p>
        </w:tc>
      </w:tr>
      <w:tr w:rsidR="00266F17" w:rsidRPr="00455F11" w14:paraId="1204E961" w14:textId="77777777" w:rsidTr="0074585E">
        <w:tc>
          <w:tcPr>
            <w:tcW w:w="1838" w:type="dxa"/>
          </w:tcPr>
          <w:p w14:paraId="0F0CD7A2" w14:textId="5772FDC5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62D4E017" w14:textId="77777777" w:rsidR="00266F17" w:rsidRPr="004E066C" w:rsidRDefault="00266F17" w:rsidP="00266F17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6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R32. about respecting the differences and similarities between people and recognising what they have in common with others e.g. physically, in personality or background </w:t>
            </w:r>
          </w:p>
          <w:p w14:paraId="7AB91C71" w14:textId="02F3ECED" w:rsidR="00266F17" w:rsidRPr="004E066C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2A851CE7" w14:textId="77777777" w:rsidR="00266F17" w:rsidRPr="00C66ACA" w:rsidRDefault="00266F17" w:rsidP="00266F17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4FB29B84" w14:textId="60E06CD4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9840D0">
              <w:rPr>
                <w:rFonts w:asciiTheme="minorHAnsi" w:hAnsiTheme="minorHAnsi" w:cstheme="minorHAnsi"/>
                <w:b/>
                <w:sz w:val="20"/>
                <w:szCs w:val="20"/>
              </w:rPr>
              <w:t>H5. about what good physical health means; how to recognise early signs of physical illness</w:t>
            </w:r>
          </w:p>
        </w:tc>
      </w:tr>
      <w:tr w:rsidR="00266F17" w:rsidRPr="00455F11" w14:paraId="2E38BFED" w14:textId="77777777" w:rsidTr="0074585E">
        <w:tc>
          <w:tcPr>
            <w:tcW w:w="1838" w:type="dxa"/>
          </w:tcPr>
          <w:p w14:paraId="3885FB92" w14:textId="30CD424D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0710E802" w14:textId="2AECD8C8" w:rsidR="00266F17" w:rsidRPr="009840D0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2EA151A5" w14:textId="77777777" w:rsidR="00266F17" w:rsidRPr="00455F11" w:rsidRDefault="00266F17" w:rsidP="00266F17">
            <w:pPr>
              <w:jc w:val="left"/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7DC5F444" w14:textId="72681FF2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9840D0">
              <w:rPr>
                <w:rFonts w:asciiTheme="minorHAnsi" w:hAnsiTheme="minorHAnsi" w:cstheme="minorHAnsi"/>
                <w:b/>
                <w:sz w:val="20"/>
                <w:szCs w:val="20"/>
              </w:rPr>
              <w:t>H11. how to maintain good oral hygiene (including correct brushing and flossing); why regular visits to the dentist are essential; the impact of lifestyle choices on dental care (e.g. sugar consumption/acidic drinks such as fruit juices, smoothies and fruit teas; the effects of smoking)</w:t>
            </w:r>
          </w:p>
        </w:tc>
      </w:tr>
      <w:tr w:rsidR="00266F17" w:rsidRPr="00455F11" w14:paraId="24CDB57D" w14:textId="77777777" w:rsidTr="0074585E">
        <w:tc>
          <w:tcPr>
            <w:tcW w:w="1838" w:type="dxa"/>
          </w:tcPr>
          <w:p w14:paraId="2C3CDA20" w14:textId="3D1BA8F7" w:rsidR="00266F17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3588BFDD" w14:textId="4C03CC0F" w:rsidR="00266F17" w:rsidRPr="009840D0" w:rsidRDefault="00266F17" w:rsidP="00266F17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5A3561A4" w14:textId="77777777" w:rsidR="00266F17" w:rsidRPr="00455F11" w:rsidRDefault="00266F17" w:rsidP="00266F17">
            <w:pPr>
              <w:adjustRightInd w:val="0"/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4CEFC10C" w14:textId="1E25AD7F" w:rsidR="00266F17" w:rsidRDefault="00266F17" w:rsidP="00266F17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9840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H30. to identify the external genitalia and internal reproductive organs in males and females and how the process of puberty relates to human reproduction </w:t>
            </w:r>
          </w:p>
        </w:tc>
      </w:tr>
      <w:tr w:rsidR="0096154C" w:rsidRPr="00455F11" w14:paraId="47505B2E" w14:textId="77777777" w:rsidTr="0074585E">
        <w:tc>
          <w:tcPr>
            <w:tcW w:w="1838" w:type="dxa"/>
          </w:tcPr>
          <w:p w14:paraId="6EDD8A86" w14:textId="58651A2A" w:rsidR="0096154C" w:rsidRDefault="0096154C" w:rsidP="0096154C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44181CBB" w14:textId="0733DC82" w:rsidR="0096154C" w:rsidRPr="009840D0" w:rsidRDefault="0096154C" w:rsidP="0096154C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6C131B0E" w14:textId="77777777" w:rsidR="0096154C" w:rsidRPr="00455F11" w:rsidRDefault="0096154C" w:rsidP="0096154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3ED9FFBD" w14:textId="77777777" w:rsidR="0096154C" w:rsidRPr="009840D0" w:rsidRDefault="0096154C" w:rsidP="009615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40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H32. about how hygiene routines change during the time of puberty, the importance of keeping clean and how to maintain personal hygiene </w:t>
            </w:r>
          </w:p>
          <w:p w14:paraId="3401E238" w14:textId="5E780EBB" w:rsidR="0096154C" w:rsidRDefault="0096154C" w:rsidP="0096154C">
            <w:pPr>
              <w:rPr>
                <w:rFonts w:ascii="Comic Sans MS" w:hAnsi="Comic Sans MS" w:cs="Arial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96154C" w:rsidRPr="00455F11" w14:paraId="5832F7C8" w14:textId="77777777" w:rsidTr="0074585E">
        <w:tc>
          <w:tcPr>
            <w:tcW w:w="1838" w:type="dxa"/>
          </w:tcPr>
          <w:p w14:paraId="54E2DB81" w14:textId="79B4124E" w:rsidR="0096154C" w:rsidRDefault="0096154C" w:rsidP="0096154C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1E0BB4B7" w14:textId="77777777" w:rsidR="0096154C" w:rsidRDefault="0096154C" w:rsidP="0096154C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42208395" w14:textId="77777777" w:rsidR="0096154C" w:rsidRPr="00455F11" w:rsidRDefault="0096154C" w:rsidP="0096154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7464C052" w14:textId="4C34CD67" w:rsidR="0096154C" w:rsidRDefault="0096154C" w:rsidP="0096154C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9840D0">
              <w:rPr>
                <w:rFonts w:asciiTheme="minorHAnsi" w:hAnsiTheme="minorHAnsi" w:cstheme="minorHAnsi"/>
                <w:b/>
                <w:sz w:val="20"/>
                <w:szCs w:val="20"/>
              </w:rPr>
              <w:t>H34. about where to get more information, help and advice about growing and changing, especially about puberty</w:t>
            </w:r>
          </w:p>
        </w:tc>
      </w:tr>
      <w:tr w:rsidR="001343E1" w:rsidRPr="00455F11" w14:paraId="23EB0B48" w14:textId="77777777" w:rsidTr="0074585E">
        <w:tc>
          <w:tcPr>
            <w:tcW w:w="1838" w:type="dxa"/>
          </w:tcPr>
          <w:p w14:paraId="700E831F" w14:textId="7FF05D3B" w:rsidR="001343E1" w:rsidRDefault="001343E1" w:rsidP="001343E1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77C924A2" w14:textId="77777777" w:rsidR="001343E1" w:rsidRDefault="001343E1" w:rsidP="001343E1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7A8F5C1A" w14:textId="77777777" w:rsidR="001343E1" w:rsidRPr="00455F11" w:rsidRDefault="001343E1" w:rsidP="001343E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68CD3805" w14:textId="124EB9D4" w:rsidR="001343E1" w:rsidRDefault="001343E1" w:rsidP="001343E1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9A5313" w:rsidRPr="00455F11" w14:paraId="7EAD7B8A" w14:textId="77777777" w:rsidTr="0074585E">
        <w:tc>
          <w:tcPr>
            <w:tcW w:w="1838" w:type="dxa"/>
          </w:tcPr>
          <w:p w14:paraId="4FB9DBE3" w14:textId="4AE79C41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28357E17" w14:textId="77777777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2732FE0A" w14:textId="77777777" w:rsidR="009A5313" w:rsidRPr="00455F11" w:rsidRDefault="009A5313" w:rsidP="009A531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6A489C9F" w14:textId="486AF937" w:rsidR="009A5313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9A5313" w:rsidRPr="00455F11" w14:paraId="7E302635" w14:textId="77777777" w:rsidTr="0074585E">
        <w:tc>
          <w:tcPr>
            <w:tcW w:w="1838" w:type="dxa"/>
          </w:tcPr>
          <w:p w14:paraId="4EF24E1C" w14:textId="24255CEF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40AB70FF" w14:textId="77777777" w:rsidR="009A5313" w:rsidRDefault="009A5313" w:rsidP="009A53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678" w:type="dxa"/>
          </w:tcPr>
          <w:p w14:paraId="0C1AC4E6" w14:textId="77777777" w:rsidR="009A5313" w:rsidRPr="00455F11" w:rsidRDefault="009A5313" w:rsidP="009A531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7A00725C" w14:textId="687B920F" w:rsidR="009A5313" w:rsidRDefault="009A5313" w:rsidP="009A5313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</w:tbl>
    <w:p w14:paraId="4D18D4CE" w14:textId="77777777" w:rsidR="00E13623" w:rsidRDefault="00E13623" w:rsidP="00042995"/>
    <w:p w14:paraId="4D18D500" w14:textId="77777777" w:rsidR="00E13623" w:rsidRPr="00E13623" w:rsidRDefault="00E13623" w:rsidP="00042995">
      <w:pPr>
        <w:rPr>
          <w:sz w:val="22"/>
        </w:rPr>
      </w:pPr>
    </w:p>
    <w:p w14:paraId="4D18D52F" w14:textId="77777777" w:rsidR="00042995" w:rsidRDefault="00042995" w:rsidP="00E13623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D532" w14:textId="77777777" w:rsidR="00A4096C" w:rsidRDefault="00A4096C" w:rsidP="00042995">
      <w:pPr>
        <w:spacing w:after="0" w:line="240" w:lineRule="auto"/>
      </w:pPr>
      <w:r>
        <w:separator/>
      </w:r>
    </w:p>
  </w:endnote>
  <w:endnote w:type="continuationSeparator" w:id="0">
    <w:p w14:paraId="4D18D533" w14:textId="77777777" w:rsidR="00A4096C" w:rsidRDefault="00A4096C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D530" w14:textId="77777777" w:rsidR="00A4096C" w:rsidRDefault="00A4096C" w:rsidP="00042995">
      <w:pPr>
        <w:spacing w:after="0" w:line="240" w:lineRule="auto"/>
      </w:pPr>
      <w:r>
        <w:separator/>
      </w:r>
    </w:p>
  </w:footnote>
  <w:footnote w:type="continuationSeparator" w:id="0">
    <w:p w14:paraId="4D18D531" w14:textId="77777777" w:rsidR="00A4096C" w:rsidRDefault="00A4096C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35D6F"/>
    <w:rsid w:val="00042995"/>
    <w:rsid w:val="000B0C73"/>
    <w:rsid w:val="001343E1"/>
    <w:rsid w:val="001C2F7C"/>
    <w:rsid w:val="00266F17"/>
    <w:rsid w:val="002F1F15"/>
    <w:rsid w:val="00395B56"/>
    <w:rsid w:val="0042453D"/>
    <w:rsid w:val="00441E2F"/>
    <w:rsid w:val="00455F11"/>
    <w:rsid w:val="0047384D"/>
    <w:rsid w:val="004C46E2"/>
    <w:rsid w:val="004E066C"/>
    <w:rsid w:val="00545BDE"/>
    <w:rsid w:val="005A7D5A"/>
    <w:rsid w:val="005B2829"/>
    <w:rsid w:val="006B793E"/>
    <w:rsid w:val="0074585E"/>
    <w:rsid w:val="0074641E"/>
    <w:rsid w:val="007672CA"/>
    <w:rsid w:val="007F3ADF"/>
    <w:rsid w:val="00831B22"/>
    <w:rsid w:val="00947797"/>
    <w:rsid w:val="0096154C"/>
    <w:rsid w:val="009717A1"/>
    <w:rsid w:val="0098165A"/>
    <w:rsid w:val="009840D0"/>
    <w:rsid w:val="009A5313"/>
    <w:rsid w:val="009D3FFE"/>
    <w:rsid w:val="009D7AE6"/>
    <w:rsid w:val="00A4096C"/>
    <w:rsid w:val="00A57C3F"/>
    <w:rsid w:val="00C27592"/>
    <w:rsid w:val="00C66ACA"/>
    <w:rsid w:val="00C96E60"/>
    <w:rsid w:val="00D80FE8"/>
    <w:rsid w:val="00DF7EC6"/>
    <w:rsid w:val="00E12512"/>
    <w:rsid w:val="00E13623"/>
    <w:rsid w:val="00E811CD"/>
    <w:rsid w:val="00EE2EDD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859AC-4569-4376-8AEF-52D1FD9B5FD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bac18579-6953-4834-a73d-36d03df3e71b"/>
    <ds:schemaRef ds:uri="http://schemas.openxmlformats.org/package/2006/metadata/core-properties"/>
    <ds:schemaRef ds:uri="dc5a2319-e1a9-4b94-beb5-1b0a75735b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CBF924-E827-43E0-8A7A-5423AEAF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C5BD3-F681-42DE-B8C6-CDBD0B38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Clare Nesbitt</cp:lastModifiedBy>
  <cp:revision>23</cp:revision>
  <dcterms:created xsi:type="dcterms:W3CDTF">2022-07-08T14:37:00Z</dcterms:created>
  <dcterms:modified xsi:type="dcterms:W3CDTF">2022-07-12T14:14:00Z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